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10.xml" ContentType="application/vnd.openxmlformats-officedocument.wordprocessingml.header+xml"/>
  <Override PartName="/word/footer14.xml" ContentType="application/vnd.openxmlformats-officedocument.wordprocessingml.footer+xml"/>
  <Override PartName="/word/header11.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header12.xml" ContentType="application/vnd.openxmlformats-officedocument.wordprocessingml.header+xml"/>
  <Override PartName="/word/footer1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0.xml" ContentType="application/vnd.openxmlformats-officedocument.wordprocessingml.footer+xml"/>
  <Override PartName="/word/header15.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6.xml" ContentType="application/vnd.openxmlformats-officedocument.wordprocessingml.header+xml"/>
  <Override PartName="/word/footer2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Default="00AC6369" w:rsidP="00AC6369">
      <w:pPr>
        <w:jc w:val="right"/>
      </w:pPr>
    </w:p>
    <w:p w:rsidR="00A2730B" w:rsidRDefault="00A2730B" w:rsidP="005E2CBB">
      <w:pPr>
        <w:pStyle w:val="ProposalTitle-Blue"/>
        <w:ind w:left="4320"/>
      </w:pPr>
    </w:p>
    <w:p w:rsidR="00A53758" w:rsidRDefault="00AC3652" w:rsidP="005E2CBB">
      <w:pPr>
        <w:pStyle w:val="ProposalTitle-Blue"/>
        <w:ind w:left="4320"/>
      </w:pPr>
      <w:r>
        <w:rPr>
          <w:noProof/>
        </w:rPr>
        <mc:AlternateContent>
          <mc:Choice Requires="wpg">
            <w:drawing>
              <wp:anchor distT="0" distB="0" distL="114300" distR="114300" simplePos="0" relativeHeight="251685888" behindDoc="0" locked="0" layoutInCell="1" allowOverlap="1" wp14:anchorId="1B636CE6" wp14:editId="50557471">
                <wp:simplePos x="0" y="0"/>
                <wp:positionH relativeFrom="column">
                  <wp:posOffset>398780</wp:posOffset>
                </wp:positionH>
                <wp:positionV relativeFrom="paragraph">
                  <wp:posOffset>-161925</wp:posOffset>
                </wp:positionV>
                <wp:extent cx="2178558" cy="7931531"/>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558" cy="7931531"/>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618202"/>
                            <a:chOff x="0" y="0"/>
                            <a:chExt cx="1917700" cy="7618202"/>
                          </a:xfrm>
                        </wpg:grpSpPr>
                        <pic:pic xmlns:pic="http://schemas.openxmlformats.org/drawingml/2006/picture">
                          <pic:nvPicPr>
                            <pic:cNvPr id="33" name="Picture 33" descr="Geobulb: A LED Light Bulb Replacement"/>
                            <pic:cNvPicPr>
                              <a:picLocks noChangeAspect="1"/>
                            </pic:cNvPicPr>
                          </pic:nvPicPr>
                          <pic:blipFill rotWithShape="1">
                            <a:blip r:embed="rId10" cstate="print">
                              <a:extLst>
                                <a:ext uri="{28A0092B-C50C-407E-A947-70E740481C1C}">
                                  <a14:useLocalDpi xmlns:a14="http://schemas.microsoft.com/office/drawing/2010/main" val="0"/>
                                </a:ext>
                              </a:extLst>
                            </a:blip>
                            <a:srcRect r="2739" b="6406"/>
                            <a:stretch/>
                          </pic:blipFill>
                          <pic:spPr bwMode="auto">
                            <a:xfrm>
                              <a:off x="0" y="6290652"/>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4pt;margin-top:-12.75pt;width:171.55pt;height:624.5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6"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6" o:title="" croptop="60401f"/>
                    <v:path arrowok="t"/>
                  </v:shape>
                </v:group>
                <v:group id="Group 32" o:spid="_x0000_s1030" style="position:absolute;width:19177;height:76182" coordsize="19177,76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906;width:19177;height:13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black [3213]">
                    <v:imagedata r:id="rId17"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black [3213]">
                      <v:imagedata r:id="rId18"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black [3213]">
                      <v:imagedata r:id="rId19"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black [3213]">
                      <v:imagedata r:id="rId20"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black [3213]">
                      <v:imagedata r:id="rId21"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black [3213]">
                      <v:imagedata r:id="rId22" o:title="electric tesla"/>
                      <v:path arrowok="t"/>
                    </v:shape>
                  </v:group>
                </v:group>
              </v:group>
            </w:pict>
          </mc:Fallback>
        </mc:AlternateContent>
      </w:r>
    </w:p>
    <w:p w:rsidR="00A53758" w:rsidRDefault="00A53758" w:rsidP="005E2CBB">
      <w:pPr>
        <w:pStyle w:val="ProposalTitle-Blue"/>
        <w:ind w:left="4320"/>
      </w:pPr>
    </w:p>
    <w:p w:rsidR="00F3019B" w:rsidRPr="00A53758" w:rsidRDefault="00CC2DDB" w:rsidP="005E2CBB">
      <w:pPr>
        <w:pStyle w:val="ProposalTitle-Blue"/>
        <w:ind w:left="4320"/>
        <w:rPr>
          <w:sz w:val="36"/>
          <w:szCs w:val="36"/>
        </w:rPr>
      </w:pPr>
      <w:r>
        <w:rPr>
          <w:sz w:val="36"/>
          <w:szCs w:val="36"/>
        </w:rPr>
        <w:t>2014</w:t>
      </w:r>
      <w:r w:rsidR="006A7080" w:rsidRPr="006A7080">
        <w:rPr>
          <w:sz w:val="36"/>
          <w:szCs w:val="36"/>
        </w:rPr>
        <w:t xml:space="preserve"> Load Impact Evaluation of California’s Statewide Non-residential Critical Peak Pricing Program</w:t>
      </w:r>
    </w:p>
    <w:p w:rsidR="00F3019B" w:rsidRPr="00A53758" w:rsidRDefault="00176128" w:rsidP="005E2CBB">
      <w:pPr>
        <w:pStyle w:val="RFPNo"/>
        <w:ind w:left="4320"/>
        <w:rPr>
          <w:sz w:val="32"/>
          <w:szCs w:val="32"/>
        </w:rPr>
      </w:pPr>
      <w:r>
        <w:rPr>
          <w:sz w:val="32"/>
          <w:szCs w:val="32"/>
        </w:rPr>
        <w:t>April 1</w:t>
      </w:r>
      <w:r w:rsidR="00CC2DDB">
        <w:rPr>
          <w:sz w:val="32"/>
          <w:szCs w:val="32"/>
        </w:rPr>
        <w:t xml:space="preserve">, </w:t>
      </w:r>
      <w:r w:rsidR="006A7080">
        <w:rPr>
          <w:sz w:val="32"/>
          <w:szCs w:val="32"/>
        </w:rPr>
        <w:t>2015</w:t>
      </w:r>
    </w:p>
    <w:p w:rsidR="00F3019B" w:rsidRPr="00753028" w:rsidRDefault="00F3019B" w:rsidP="005E2CBB">
      <w:pPr>
        <w:pStyle w:val="RFPNo"/>
        <w:ind w:left="4320"/>
        <w:rPr>
          <w:sz w:val="20"/>
          <w:szCs w:val="20"/>
        </w:rPr>
      </w:pPr>
    </w:p>
    <w:p w:rsidR="00753028" w:rsidRPr="00A53758" w:rsidRDefault="00753028" w:rsidP="005E2CBB">
      <w:pPr>
        <w:pStyle w:val="RFPNo"/>
        <w:ind w:left="4320"/>
        <w:rPr>
          <w:sz w:val="32"/>
          <w:szCs w:val="32"/>
        </w:rPr>
      </w:pPr>
    </w:p>
    <w:p w:rsidR="006A7080" w:rsidRPr="006A7080" w:rsidRDefault="00A2730B" w:rsidP="006A7080">
      <w:pPr>
        <w:pStyle w:val="RFPNo"/>
        <w:ind w:left="4320"/>
        <w:rPr>
          <w:szCs w:val="28"/>
        </w:rPr>
      </w:pPr>
      <w:proofErr w:type="gramStart"/>
      <w:r w:rsidRPr="00A53758">
        <w:rPr>
          <w:b/>
          <w:sz w:val="32"/>
          <w:szCs w:val="32"/>
        </w:rPr>
        <w:t>Prepared for</w:t>
      </w:r>
      <w:r w:rsidRPr="00A53758">
        <w:rPr>
          <w:sz w:val="32"/>
          <w:szCs w:val="32"/>
        </w:rPr>
        <w:t xml:space="preserve"> </w:t>
      </w:r>
      <w:r w:rsidR="00A53758">
        <w:rPr>
          <w:sz w:val="32"/>
          <w:szCs w:val="32"/>
        </w:rPr>
        <w:br/>
      </w:r>
      <w:r w:rsidR="006A7080" w:rsidRPr="006A7080">
        <w:rPr>
          <w:szCs w:val="28"/>
        </w:rPr>
        <w:t>Pacific Gas and Electric Co.</w:t>
      </w:r>
      <w:proofErr w:type="gramEnd"/>
    </w:p>
    <w:p w:rsidR="006A7080" w:rsidRPr="006A7080" w:rsidRDefault="006A7080" w:rsidP="006A7080">
      <w:pPr>
        <w:pStyle w:val="RFPNo"/>
        <w:ind w:left="4320"/>
        <w:rPr>
          <w:szCs w:val="28"/>
        </w:rPr>
      </w:pPr>
      <w:proofErr w:type="gramStart"/>
      <w:r w:rsidRPr="006A7080">
        <w:rPr>
          <w:szCs w:val="28"/>
        </w:rPr>
        <w:t>Southern California Edison Co.</w:t>
      </w:r>
      <w:proofErr w:type="gramEnd"/>
    </w:p>
    <w:p w:rsidR="00A2730B" w:rsidRPr="006A7080" w:rsidRDefault="006A7080" w:rsidP="006A7080">
      <w:pPr>
        <w:pStyle w:val="RFPNo"/>
        <w:ind w:left="4320"/>
        <w:rPr>
          <w:szCs w:val="28"/>
        </w:rPr>
      </w:pPr>
      <w:proofErr w:type="gramStart"/>
      <w:r w:rsidRPr="006A7080">
        <w:rPr>
          <w:szCs w:val="28"/>
        </w:rPr>
        <w:t>San Diego Gas and Electric Co.</w:t>
      </w:r>
      <w:proofErr w:type="gramEnd"/>
    </w:p>
    <w:p w:rsidR="00A2730B" w:rsidRPr="00A53758" w:rsidRDefault="00A2730B" w:rsidP="005E2CBB">
      <w:pPr>
        <w:pStyle w:val="RFPNo"/>
        <w:ind w:left="4320" w:right="0"/>
        <w:rPr>
          <w:sz w:val="32"/>
          <w:szCs w:val="32"/>
        </w:rPr>
      </w:pPr>
    </w:p>
    <w:p w:rsidR="00CC2DDB" w:rsidRDefault="00A2730B" w:rsidP="00CC2DDB">
      <w:pPr>
        <w:pStyle w:val="RFPNo"/>
        <w:spacing w:after="120"/>
        <w:ind w:left="4320" w:right="-187"/>
        <w:rPr>
          <w:i/>
          <w:sz w:val="32"/>
          <w:szCs w:val="32"/>
        </w:rPr>
      </w:pPr>
      <w:r w:rsidRPr="00A53758">
        <w:rPr>
          <w:b/>
          <w:sz w:val="32"/>
          <w:szCs w:val="32"/>
        </w:rPr>
        <w:t>Prepar</w:t>
      </w:r>
      <w:r w:rsidR="00F3019B" w:rsidRPr="00A53758">
        <w:rPr>
          <w:b/>
          <w:sz w:val="32"/>
          <w:szCs w:val="32"/>
        </w:rPr>
        <w:t>ed by</w:t>
      </w:r>
      <w:r w:rsidR="00F3019B" w:rsidRPr="00A53758">
        <w:rPr>
          <w:sz w:val="32"/>
          <w:szCs w:val="32"/>
        </w:rPr>
        <w:t xml:space="preserve"> </w:t>
      </w:r>
      <w:r w:rsidR="00A53758">
        <w:rPr>
          <w:sz w:val="32"/>
          <w:szCs w:val="32"/>
        </w:rPr>
        <w:br/>
      </w:r>
      <w:r w:rsidR="00CC2DDB">
        <w:rPr>
          <w:sz w:val="32"/>
          <w:szCs w:val="32"/>
        </w:rPr>
        <w:t>Stephen George</w:t>
      </w:r>
      <w:proofErr w:type="gramStart"/>
      <w:r w:rsidR="00CC2DDB" w:rsidRPr="006A7080">
        <w:rPr>
          <w:sz w:val="32"/>
          <w:szCs w:val="32"/>
        </w:rPr>
        <w:t>,</w:t>
      </w:r>
      <w:proofErr w:type="gramEnd"/>
      <w:r w:rsidR="00CC2DDB">
        <w:rPr>
          <w:sz w:val="32"/>
          <w:szCs w:val="32"/>
        </w:rPr>
        <w:br/>
      </w:r>
      <w:r w:rsidR="00CC2DDB">
        <w:rPr>
          <w:i/>
          <w:sz w:val="32"/>
          <w:szCs w:val="32"/>
        </w:rPr>
        <w:t>Senior Vice President</w:t>
      </w:r>
    </w:p>
    <w:p w:rsidR="006A7080" w:rsidRDefault="006A7080" w:rsidP="006A7080">
      <w:pPr>
        <w:pStyle w:val="RFPNo"/>
        <w:spacing w:after="120"/>
        <w:ind w:left="4320" w:right="-187"/>
        <w:rPr>
          <w:i/>
          <w:sz w:val="32"/>
          <w:szCs w:val="32"/>
        </w:rPr>
      </w:pPr>
      <w:r w:rsidRPr="006A7080">
        <w:rPr>
          <w:sz w:val="32"/>
          <w:szCs w:val="32"/>
        </w:rPr>
        <w:t xml:space="preserve">Joshua Schellenberg, </w:t>
      </w:r>
      <w:r w:rsidRPr="006A7080">
        <w:rPr>
          <w:i/>
          <w:sz w:val="32"/>
          <w:szCs w:val="32"/>
        </w:rPr>
        <w:t>Managing Consultant</w:t>
      </w:r>
    </w:p>
    <w:p w:rsidR="008B3E1E" w:rsidRDefault="006A7080" w:rsidP="006A7080">
      <w:pPr>
        <w:pStyle w:val="RFPNo"/>
        <w:spacing w:after="120"/>
        <w:ind w:left="4320" w:right="-187"/>
        <w:rPr>
          <w:i/>
          <w:sz w:val="32"/>
          <w:szCs w:val="32"/>
        </w:rPr>
      </w:pPr>
      <w:r w:rsidRPr="006A7080">
        <w:rPr>
          <w:sz w:val="32"/>
          <w:szCs w:val="32"/>
        </w:rPr>
        <w:t xml:space="preserve">Marshall M. Blundell, </w:t>
      </w:r>
      <w:r>
        <w:rPr>
          <w:sz w:val="32"/>
          <w:szCs w:val="32"/>
        </w:rPr>
        <w:br/>
      </w:r>
      <w:r w:rsidRPr="006A7080">
        <w:rPr>
          <w:i/>
          <w:sz w:val="32"/>
          <w:szCs w:val="32"/>
        </w:rPr>
        <w:t>Project Analyst</w:t>
      </w:r>
    </w:p>
    <w:p w:rsidR="00744453" w:rsidRDefault="00744453" w:rsidP="006A7080">
      <w:pPr>
        <w:pStyle w:val="RFPNo"/>
        <w:spacing w:after="120"/>
        <w:ind w:left="4320" w:right="-187"/>
        <w:rPr>
          <w:i/>
          <w:sz w:val="32"/>
          <w:szCs w:val="32"/>
        </w:rPr>
      </w:pPr>
    </w:p>
    <w:p w:rsidR="00744453" w:rsidRPr="00744453" w:rsidRDefault="00744453" w:rsidP="00744453">
      <w:pPr>
        <w:pStyle w:val="RFPNo"/>
        <w:ind w:left="4320"/>
        <w:rPr>
          <w:i/>
        </w:rPr>
      </w:pPr>
      <w:r w:rsidRPr="00744453">
        <w:rPr>
          <w:i/>
        </w:rPr>
        <w:t>CALMAC ID SDG0287</w:t>
      </w:r>
    </w:p>
    <w:p w:rsidR="006A7080" w:rsidRDefault="006A7080" w:rsidP="006A7080">
      <w:pPr>
        <w:pStyle w:val="RFPNo"/>
        <w:spacing w:after="120"/>
        <w:ind w:left="4320" w:right="-187"/>
        <w:rPr>
          <w:sz w:val="32"/>
          <w:szCs w:val="32"/>
        </w:rPr>
      </w:pPr>
    </w:p>
    <w:p w:rsidR="000423F0" w:rsidRPr="00ED253C" w:rsidRDefault="00A53758" w:rsidP="00744453">
      <w:pPr>
        <w:pStyle w:val="RFPNo"/>
        <w:ind w:left="4320"/>
      </w:pPr>
      <w:r w:rsidRPr="006D677D">
        <w:rPr>
          <w:sz w:val="32"/>
          <w:szCs w:val="32"/>
        </w:rPr>
        <w:t>Nexant, Inc.</w:t>
      </w:r>
      <w:r w:rsidR="0079582F">
        <w:rPr>
          <w:noProof/>
        </w:rPr>
        <mc:AlternateContent>
          <mc:Choice Requires="wps">
            <w:drawing>
              <wp:anchor distT="0" distB="0" distL="114300" distR="114300" simplePos="0" relativeHeight="251683840" behindDoc="0" locked="0" layoutInCell="1" allowOverlap="1" wp14:anchorId="7AEFE632" wp14:editId="605F089E">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black [3213]" strokeweight="1pt">
                <v:shadow color="#3f3151 [1607]" opacity=".5" offset="1pt"/>
              </v:shape>
            </w:pict>
          </mc:Fallback>
        </mc:AlternateContent>
      </w:r>
    </w:p>
    <w:p w:rsidR="000423F0" w:rsidRDefault="000423F0" w:rsidP="000423F0">
      <w:pPr>
        <w:spacing w:before="240"/>
        <w:ind w:left="-990"/>
        <w:rPr>
          <w:b/>
          <w:color w:val="433B67"/>
          <w:sz w:val="28"/>
          <w:szCs w:val="28"/>
        </w:rPr>
        <w:sectPr w:rsidR="000423F0" w:rsidSect="00AC6369">
          <w:headerReference w:type="even" r:id="rId23"/>
          <w:headerReference w:type="default" r:id="rId24"/>
          <w:footerReference w:type="even" r:id="rId25"/>
          <w:footerReference w:type="default" r:id="rId26"/>
          <w:headerReference w:type="first" r:id="rId27"/>
          <w:footerReference w:type="first" r:id="rId28"/>
          <w:pgSz w:w="12240" w:h="15840"/>
          <w:pgMar w:top="1440" w:right="1800" w:bottom="1440" w:left="1800" w:header="720" w:footer="720" w:gutter="0"/>
          <w:pgNumType w:fmt="lowerRoman" w:start="1"/>
          <w:cols w:space="720"/>
          <w:docGrid w:linePitch="360"/>
        </w:sectPr>
      </w:pPr>
    </w:p>
    <w:p w:rsidR="000423F0" w:rsidRDefault="000423F0" w:rsidP="00A66D41">
      <w:pPr>
        <w:pStyle w:val="RFPNo"/>
        <w:ind w:left="0"/>
      </w:pPr>
    </w:p>
    <w:bookmarkStart w:id="0" w:name="_Toc268073344" w:displacedByCustomXml="next"/>
    <w:sdt>
      <w:sdtPr>
        <w:rPr>
          <w:rFonts w:eastAsiaTheme="minorHAnsi" w:cstheme="minorBidi"/>
          <w:b w:val="0"/>
          <w:color w:val="auto"/>
          <w:sz w:val="22"/>
          <w:szCs w:val="22"/>
        </w:rPr>
        <w:id w:val="1780305"/>
        <w:docPartObj>
          <w:docPartGallery w:val="Table of Contents"/>
          <w:docPartUnique/>
        </w:docPartObj>
      </w:sdtPr>
      <w:sdtEndPr>
        <w:rPr>
          <w:rFonts w:eastAsiaTheme="minorEastAsia"/>
        </w:rPr>
      </w:sdtEndPr>
      <w:sdtContent>
        <w:p w:rsidR="002F58AD" w:rsidRPr="00517952" w:rsidRDefault="002F58AD" w:rsidP="002F58AD">
          <w:pPr>
            <w:pStyle w:val="TableofContents"/>
            <w:ind w:left="0"/>
            <w:rPr>
              <w:rFonts w:ascii="Arial" w:hAnsi="Arial" w:cs="Arial"/>
              <w:color w:val="0070CD"/>
            </w:rPr>
          </w:pPr>
          <w:r w:rsidRPr="00517952">
            <w:rPr>
              <w:rFonts w:ascii="Arial" w:hAnsi="Arial" w:cs="Arial"/>
              <w:color w:val="0070CD"/>
            </w:rPr>
            <w:t>Table of Contents</w:t>
          </w:r>
        </w:p>
        <w:p w:rsidR="0014605D" w:rsidRDefault="009E3548">
          <w:pPr>
            <w:pStyle w:val="TOC1"/>
            <w:rPr>
              <w:rFonts w:asciiTheme="minorHAnsi" w:hAnsiTheme="minorHAnsi"/>
            </w:rPr>
          </w:pPr>
          <w:r>
            <w:rPr>
              <w:rFonts w:ascii="Verdana" w:hAnsi="Verdana"/>
              <w:sz w:val="18"/>
            </w:rPr>
            <w:fldChar w:fldCharType="begin"/>
          </w:r>
          <w:r w:rsidR="002F58AD">
            <w:instrText xml:space="preserve"> TOC \o "1-3" \h \z \t "Appendix Heading 1,2,Appendix Heading 2,3,Appendix Heading 3,4" </w:instrText>
          </w:r>
          <w:r>
            <w:rPr>
              <w:rFonts w:ascii="Verdana" w:hAnsi="Verdana"/>
              <w:sz w:val="18"/>
            </w:rPr>
            <w:fldChar w:fldCharType="separate"/>
          </w:r>
          <w:hyperlink w:anchor="_Toc415494748" w:history="1">
            <w:r w:rsidR="0014605D" w:rsidRPr="007A6BB9">
              <w:rPr>
                <w:rStyle w:val="Hyperlink"/>
              </w:rPr>
              <w:t>1</w:t>
            </w:r>
            <w:r w:rsidR="0014605D">
              <w:rPr>
                <w:rFonts w:asciiTheme="minorHAnsi" w:hAnsiTheme="minorHAnsi"/>
              </w:rPr>
              <w:tab/>
            </w:r>
            <w:r w:rsidR="0014605D" w:rsidRPr="007A6BB9">
              <w:rPr>
                <w:rStyle w:val="Hyperlink"/>
              </w:rPr>
              <w:t>Executive Summary</w:t>
            </w:r>
            <w:r w:rsidR="0014605D">
              <w:rPr>
                <w:webHidden/>
              </w:rPr>
              <w:tab/>
            </w:r>
            <w:r w:rsidR="0014605D">
              <w:rPr>
                <w:webHidden/>
              </w:rPr>
              <w:fldChar w:fldCharType="begin"/>
            </w:r>
            <w:r w:rsidR="0014605D">
              <w:rPr>
                <w:webHidden/>
              </w:rPr>
              <w:instrText xml:space="preserve"> PAGEREF _Toc415494748 \h </w:instrText>
            </w:r>
            <w:r w:rsidR="0014605D">
              <w:rPr>
                <w:webHidden/>
              </w:rPr>
            </w:r>
            <w:r w:rsidR="0014605D">
              <w:rPr>
                <w:webHidden/>
              </w:rPr>
              <w:fldChar w:fldCharType="separate"/>
            </w:r>
            <w:r w:rsidR="0014605D">
              <w:rPr>
                <w:webHidden/>
              </w:rPr>
              <w:t>2</w:t>
            </w:r>
            <w:r w:rsidR="0014605D">
              <w:rPr>
                <w:webHidden/>
              </w:rPr>
              <w:fldChar w:fldCharType="end"/>
            </w:r>
          </w:hyperlink>
        </w:p>
        <w:p w:rsidR="0014605D" w:rsidRDefault="001E777E">
          <w:pPr>
            <w:pStyle w:val="TOC1"/>
            <w:rPr>
              <w:rFonts w:asciiTheme="minorHAnsi" w:hAnsiTheme="minorHAnsi"/>
            </w:rPr>
          </w:pPr>
          <w:hyperlink w:anchor="_Toc415494749" w:history="1">
            <w:r w:rsidR="0014605D" w:rsidRPr="007A6BB9">
              <w:rPr>
                <w:rStyle w:val="Hyperlink"/>
              </w:rPr>
              <w:t>2</w:t>
            </w:r>
            <w:r w:rsidR="0014605D">
              <w:rPr>
                <w:rFonts w:asciiTheme="minorHAnsi" w:hAnsiTheme="minorHAnsi"/>
              </w:rPr>
              <w:tab/>
            </w:r>
            <w:r w:rsidR="0014605D" w:rsidRPr="007A6BB9">
              <w:rPr>
                <w:rStyle w:val="Hyperlink"/>
              </w:rPr>
              <w:t>Introduction</w:t>
            </w:r>
            <w:r w:rsidR="0014605D">
              <w:rPr>
                <w:webHidden/>
              </w:rPr>
              <w:tab/>
            </w:r>
            <w:r w:rsidR="0014605D">
              <w:rPr>
                <w:webHidden/>
              </w:rPr>
              <w:fldChar w:fldCharType="begin"/>
            </w:r>
            <w:r w:rsidR="0014605D">
              <w:rPr>
                <w:webHidden/>
              </w:rPr>
              <w:instrText xml:space="preserve"> PAGEREF _Toc415494749 \h </w:instrText>
            </w:r>
            <w:r w:rsidR="0014605D">
              <w:rPr>
                <w:webHidden/>
              </w:rPr>
            </w:r>
            <w:r w:rsidR="0014605D">
              <w:rPr>
                <w:webHidden/>
              </w:rPr>
              <w:fldChar w:fldCharType="separate"/>
            </w:r>
            <w:r w:rsidR="0014605D">
              <w:rPr>
                <w:webHidden/>
              </w:rPr>
              <w:t>7</w:t>
            </w:r>
            <w:r w:rsidR="0014605D">
              <w:rPr>
                <w:webHidden/>
              </w:rPr>
              <w:fldChar w:fldCharType="end"/>
            </w:r>
          </w:hyperlink>
        </w:p>
        <w:p w:rsidR="0014605D" w:rsidRDefault="001E777E">
          <w:pPr>
            <w:pStyle w:val="TOC2"/>
            <w:rPr>
              <w:rFonts w:asciiTheme="minorHAnsi" w:hAnsiTheme="minorHAnsi"/>
            </w:rPr>
          </w:pPr>
          <w:hyperlink w:anchor="_Toc415494750" w:history="1">
            <w:r w:rsidR="0014605D" w:rsidRPr="007A6BB9">
              <w:rPr>
                <w:rStyle w:val="Hyperlink"/>
              </w:rPr>
              <w:t>2.1</w:t>
            </w:r>
            <w:r w:rsidR="0014605D">
              <w:rPr>
                <w:rFonts w:asciiTheme="minorHAnsi" w:hAnsiTheme="minorHAnsi"/>
              </w:rPr>
              <w:tab/>
            </w:r>
            <w:r w:rsidR="0014605D" w:rsidRPr="007A6BB9">
              <w:rPr>
                <w:rStyle w:val="Hyperlink"/>
              </w:rPr>
              <w:t>Non-residential CPP Programs at California IOUs</w:t>
            </w:r>
            <w:r w:rsidR="0014605D">
              <w:rPr>
                <w:webHidden/>
              </w:rPr>
              <w:tab/>
            </w:r>
            <w:r w:rsidR="0014605D">
              <w:rPr>
                <w:webHidden/>
              </w:rPr>
              <w:fldChar w:fldCharType="begin"/>
            </w:r>
            <w:r w:rsidR="0014605D">
              <w:rPr>
                <w:webHidden/>
              </w:rPr>
              <w:instrText xml:space="preserve"> PAGEREF _Toc415494750 \h </w:instrText>
            </w:r>
            <w:r w:rsidR="0014605D">
              <w:rPr>
                <w:webHidden/>
              </w:rPr>
            </w:r>
            <w:r w:rsidR="0014605D">
              <w:rPr>
                <w:webHidden/>
              </w:rPr>
              <w:fldChar w:fldCharType="separate"/>
            </w:r>
            <w:r w:rsidR="0014605D">
              <w:rPr>
                <w:webHidden/>
              </w:rPr>
              <w:t>7</w:t>
            </w:r>
            <w:r w:rsidR="0014605D">
              <w:rPr>
                <w:webHidden/>
              </w:rPr>
              <w:fldChar w:fldCharType="end"/>
            </w:r>
          </w:hyperlink>
        </w:p>
        <w:p w:rsidR="0014605D" w:rsidRDefault="001E777E">
          <w:pPr>
            <w:pStyle w:val="TOC2"/>
            <w:rPr>
              <w:rFonts w:asciiTheme="minorHAnsi" w:hAnsiTheme="minorHAnsi"/>
            </w:rPr>
          </w:pPr>
          <w:hyperlink w:anchor="_Toc415494751" w:history="1">
            <w:r w:rsidR="0014605D" w:rsidRPr="007A6BB9">
              <w:rPr>
                <w:rStyle w:val="Hyperlink"/>
              </w:rPr>
              <w:t>2.2</w:t>
            </w:r>
            <w:r w:rsidR="0014605D">
              <w:rPr>
                <w:rFonts w:asciiTheme="minorHAnsi" w:hAnsiTheme="minorHAnsi"/>
              </w:rPr>
              <w:tab/>
            </w:r>
            <w:r w:rsidR="0014605D" w:rsidRPr="007A6BB9">
              <w:rPr>
                <w:rStyle w:val="Hyperlink"/>
              </w:rPr>
              <w:t>Report Organization</w:t>
            </w:r>
            <w:r w:rsidR="0014605D">
              <w:rPr>
                <w:webHidden/>
              </w:rPr>
              <w:tab/>
            </w:r>
            <w:r w:rsidR="0014605D">
              <w:rPr>
                <w:webHidden/>
              </w:rPr>
              <w:fldChar w:fldCharType="begin"/>
            </w:r>
            <w:r w:rsidR="0014605D">
              <w:rPr>
                <w:webHidden/>
              </w:rPr>
              <w:instrText xml:space="preserve"> PAGEREF _Toc415494751 \h </w:instrText>
            </w:r>
            <w:r w:rsidR="0014605D">
              <w:rPr>
                <w:webHidden/>
              </w:rPr>
            </w:r>
            <w:r w:rsidR="0014605D">
              <w:rPr>
                <w:webHidden/>
              </w:rPr>
              <w:fldChar w:fldCharType="separate"/>
            </w:r>
            <w:r w:rsidR="0014605D">
              <w:rPr>
                <w:webHidden/>
              </w:rPr>
              <w:t>13</w:t>
            </w:r>
            <w:r w:rsidR="0014605D">
              <w:rPr>
                <w:webHidden/>
              </w:rPr>
              <w:fldChar w:fldCharType="end"/>
            </w:r>
          </w:hyperlink>
        </w:p>
        <w:p w:rsidR="0014605D" w:rsidRDefault="001E777E">
          <w:pPr>
            <w:pStyle w:val="TOC1"/>
            <w:rPr>
              <w:rFonts w:asciiTheme="minorHAnsi" w:hAnsiTheme="minorHAnsi"/>
            </w:rPr>
          </w:pPr>
          <w:hyperlink w:anchor="_Toc415494752" w:history="1">
            <w:r w:rsidR="0014605D" w:rsidRPr="007A6BB9">
              <w:rPr>
                <w:rStyle w:val="Hyperlink"/>
              </w:rPr>
              <w:t>3</w:t>
            </w:r>
            <w:r w:rsidR="0014605D">
              <w:rPr>
                <w:rFonts w:asciiTheme="minorHAnsi" w:hAnsiTheme="minorHAnsi"/>
              </w:rPr>
              <w:tab/>
            </w:r>
            <w:r w:rsidR="0014605D" w:rsidRPr="007A6BB9">
              <w:rPr>
                <w:rStyle w:val="Hyperlink"/>
              </w:rPr>
              <w:t>Methodology</w:t>
            </w:r>
            <w:r w:rsidR="0014605D">
              <w:rPr>
                <w:webHidden/>
              </w:rPr>
              <w:tab/>
            </w:r>
            <w:r w:rsidR="0014605D">
              <w:rPr>
                <w:webHidden/>
              </w:rPr>
              <w:fldChar w:fldCharType="begin"/>
            </w:r>
            <w:r w:rsidR="0014605D">
              <w:rPr>
                <w:webHidden/>
              </w:rPr>
              <w:instrText xml:space="preserve"> PAGEREF _Toc415494752 \h </w:instrText>
            </w:r>
            <w:r w:rsidR="0014605D">
              <w:rPr>
                <w:webHidden/>
              </w:rPr>
            </w:r>
            <w:r w:rsidR="0014605D">
              <w:rPr>
                <w:webHidden/>
              </w:rPr>
              <w:fldChar w:fldCharType="separate"/>
            </w:r>
            <w:r w:rsidR="0014605D">
              <w:rPr>
                <w:webHidden/>
              </w:rPr>
              <w:t>14</w:t>
            </w:r>
            <w:r w:rsidR="0014605D">
              <w:rPr>
                <w:webHidden/>
              </w:rPr>
              <w:fldChar w:fldCharType="end"/>
            </w:r>
          </w:hyperlink>
        </w:p>
        <w:p w:rsidR="0014605D" w:rsidRDefault="001E777E">
          <w:pPr>
            <w:pStyle w:val="TOC2"/>
            <w:rPr>
              <w:rFonts w:asciiTheme="minorHAnsi" w:hAnsiTheme="minorHAnsi"/>
            </w:rPr>
          </w:pPr>
          <w:hyperlink w:anchor="_Toc415494753" w:history="1">
            <w:r w:rsidR="0014605D" w:rsidRPr="007A6BB9">
              <w:rPr>
                <w:rStyle w:val="Hyperlink"/>
              </w:rPr>
              <w:t>3.1</w:t>
            </w:r>
            <w:r w:rsidR="0014605D">
              <w:rPr>
                <w:rFonts w:asciiTheme="minorHAnsi" w:hAnsiTheme="minorHAnsi"/>
              </w:rPr>
              <w:tab/>
            </w:r>
            <w:r w:rsidR="0014605D" w:rsidRPr="007A6BB9">
              <w:rPr>
                <w:rStyle w:val="Hyperlink"/>
              </w:rPr>
              <w:t>Ex Post Evaluation Methodology</w:t>
            </w:r>
            <w:r w:rsidR="0014605D">
              <w:rPr>
                <w:webHidden/>
              </w:rPr>
              <w:tab/>
            </w:r>
            <w:r w:rsidR="0014605D">
              <w:rPr>
                <w:webHidden/>
              </w:rPr>
              <w:fldChar w:fldCharType="begin"/>
            </w:r>
            <w:r w:rsidR="0014605D">
              <w:rPr>
                <w:webHidden/>
              </w:rPr>
              <w:instrText xml:space="preserve"> PAGEREF _Toc415494753 \h </w:instrText>
            </w:r>
            <w:r w:rsidR="0014605D">
              <w:rPr>
                <w:webHidden/>
              </w:rPr>
            </w:r>
            <w:r w:rsidR="0014605D">
              <w:rPr>
                <w:webHidden/>
              </w:rPr>
              <w:fldChar w:fldCharType="separate"/>
            </w:r>
            <w:r w:rsidR="0014605D">
              <w:rPr>
                <w:webHidden/>
              </w:rPr>
              <w:t>15</w:t>
            </w:r>
            <w:r w:rsidR="0014605D">
              <w:rPr>
                <w:webHidden/>
              </w:rPr>
              <w:fldChar w:fldCharType="end"/>
            </w:r>
          </w:hyperlink>
        </w:p>
        <w:p w:rsidR="0014605D" w:rsidRDefault="001E777E">
          <w:pPr>
            <w:pStyle w:val="TOC3"/>
            <w:rPr>
              <w:rFonts w:asciiTheme="minorHAnsi" w:hAnsiTheme="minorHAnsi" w:cstheme="minorBidi"/>
              <w:szCs w:val="22"/>
            </w:rPr>
          </w:pPr>
          <w:hyperlink w:anchor="_Toc415494754" w:history="1">
            <w:r w:rsidR="0014605D" w:rsidRPr="007A6BB9">
              <w:rPr>
                <w:rStyle w:val="Hyperlink"/>
              </w:rPr>
              <w:t>3.1.1</w:t>
            </w:r>
            <w:r w:rsidR="0014605D">
              <w:rPr>
                <w:rFonts w:asciiTheme="minorHAnsi" w:hAnsiTheme="minorHAnsi" w:cstheme="minorBidi"/>
                <w:szCs w:val="22"/>
              </w:rPr>
              <w:tab/>
            </w:r>
            <w:r w:rsidR="0014605D" w:rsidRPr="007A6BB9">
              <w:rPr>
                <w:rStyle w:val="Hyperlink"/>
              </w:rPr>
              <w:t>Proxy Day Selection</w:t>
            </w:r>
            <w:r w:rsidR="0014605D">
              <w:rPr>
                <w:webHidden/>
              </w:rPr>
              <w:tab/>
            </w:r>
            <w:r w:rsidR="0014605D">
              <w:rPr>
                <w:webHidden/>
              </w:rPr>
              <w:fldChar w:fldCharType="begin"/>
            </w:r>
            <w:r w:rsidR="0014605D">
              <w:rPr>
                <w:webHidden/>
              </w:rPr>
              <w:instrText xml:space="preserve"> PAGEREF _Toc415494754 \h </w:instrText>
            </w:r>
            <w:r w:rsidR="0014605D">
              <w:rPr>
                <w:webHidden/>
              </w:rPr>
            </w:r>
            <w:r w:rsidR="0014605D">
              <w:rPr>
                <w:webHidden/>
              </w:rPr>
              <w:fldChar w:fldCharType="separate"/>
            </w:r>
            <w:r w:rsidR="0014605D">
              <w:rPr>
                <w:webHidden/>
              </w:rPr>
              <w:t>18</w:t>
            </w:r>
            <w:r w:rsidR="0014605D">
              <w:rPr>
                <w:webHidden/>
              </w:rPr>
              <w:fldChar w:fldCharType="end"/>
            </w:r>
          </w:hyperlink>
        </w:p>
        <w:p w:rsidR="0014605D" w:rsidRDefault="001E777E">
          <w:pPr>
            <w:pStyle w:val="TOC3"/>
            <w:rPr>
              <w:rFonts w:asciiTheme="minorHAnsi" w:hAnsiTheme="minorHAnsi" w:cstheme="minorBidi"/>
              <w:szCs w:val="22"/>
            </w:rPr>
          </w:pPr>
          <w:hyperlink w:anchor="_Toc415494755" w:history="1">
            <w:r w:rsidR="0014605D" w:rsidRPr="007A6BB9">
              <w:rPr>
                <w:rStyle w:val="Hyperlink"/>
              </w:rPr>
              <w:t>3.1.2</w:t>
            </w:r>
            <w:r w:rsidR="0014605D">
              <w:rPr>
                <w:rFonts w:asciiTheme="minorHAnsi" w:hAnsiTheme="minorHAnsi" w:cstheme="minorBidi"/>
                <w:szCs w:val="22"/>
              </w:rPr>
              <w:tab/>
            </w:r>
            <w:r w:rsidR="0014605D" w:rsidRPr="007A6BB9">
              <w:rPr>
                <w:rStyle w:val="Hyperlink"/>
              </w:rPr>
              <w:t>Matching Model Selection</w:t>
            </w:r>
            <w:r w:rsidR="0014605D">
              <w:rPr>
                <w:webHidden/>
              </w:rPr>
              <w:tab/>
            </w:r>
            <w:r w:rsidR="0014605D">
              <w:rPr>
                <w:webHidden/>
              </w:rPr>
              <w:fldChar w:fldCharType="begin"/>
            </w:r>
            <w:r w:rsidR="0014605D">
              <w:rPr>
                <w:webHidden/>
              </w:rPr>
              <w:instrText xml:space="preserve"> PAGEREF _Toc415494755 \h </w:instrText>
            </w:r>
            <w:r w:rsidR="0014605D">
              <w:rPr>
                <w:webHidden/>
              </w:rPr>
            </w:r>
            <w:r w:rsidR="0014605D">
              <w:rPr>
                <w:webHidden/>
              </w:rPr>
              <w:fldChar w:fldCharType="separate"/>
            </w:r>
            <w:r w:rsidR="0014605D">
              <w:rPr>
                <w:webHidden/>
              </w:rPr>
              <w:t>19</w:t>
            </w:r>
            <w:r w:rsidR="0014605D">
              <w:rPr>
                <w:webHidden/>
              </w:rPr>
              <w:fldChar w:fldCharType="end"/>
            </w:r>
          </w:hyperlink>
        </w:p>
        <w:p w:rsidR="0014605D" w:rsidRDefault="001E777E">
          <w:pPr>
            <w:pStyle w:val="TOC3"/>
            <w:rPr>
              <w:rFonts w:asciiTheme="minorHAnsi" w:hAnsiTheme="minorHAnsi" w:cstheme="minorBidi"/>
              <w:szCs w:val="22"/>
            </w:rPr>
          </w:pPr>
          <w:hyperlink w:anchor="_Toc415494756" w:history="1">
            <w:r w:rsidR="0014605D" w:rsidRPr="007A6BB9">
              <w:rPr>
                <w:rStyle w:val="Hyperlink"/>
              </w:rPr>
              <w:t>3.1.3</w:t>
            </w:r>
            <w:r w:rsidR="0014605D">
              <w:rPr>
                <w:rFonts w:asciiTheme="minorHAnsi" w:hAnsiTheme="minorHAnsi" w:cstheme="minorBidi"/>
                <w:szCs w:val="22"/>
              </w:rPr>
              <w:tab/>
            </w:r>
            <w:r w:rsidR="0014605D" w:rsidRPr="007A6BB9">
              <w:rPr>
                <w:rStyle w:val="Hyperlink"/>
              </w:rPr>
              <w:t>Control Group Selection</w:t>
            </w:r>
            <w:r w:rsidR="0014605D">
              <w:rPr>
                <w:webHidden/>
              </w:rPr>
              <w:tab/>
            </w:r>
            <w:r w:rsidR="0014605D">
              <w:rPr>
                <w:webHidden/>
              </w:rPr>
              <w:fldChar w:fldCharType="begin"/>
            </w:r>
            <w:r w:rsidR="0014605D">
              <w:rPr>
                <w:webHidden/>
              </w:rPr>
              <w:instrText xml:space="preserve"> PAGEREF _Toc415494756 \h </w:instrText>
            </w:r>
            <w:r w:rsidR="0014605D">
              <w:rPr>
                <w:webHidden/>
              </w:rPr>
            </w:r>
            <w:r w:rsidR="0014605D">
              <w:rPr>
                <w:webHidden/>
              </w:rPr>
              <w:fldChar w:fldCharType="separate"/>
            </w:r>
            <w:r w:rsidR="0014605D">
              <w:rPr>
                <w:webHidden/>
              </w:rPr>
              <w:t>22</w:t>
            </w:r>
            <w:r w:rsidR="0014605D">
              <w:rPr>
                <w:webHidden/>
              </w:rPr>
              <w:fldChar w:fldCharType="end"/>
            </w:r>
          </w:hyperlink>
        </w:p>
        <w:p w:rsidR="0014605D" w:rsidRDefault="001E777E">
          <w:pPr>
            <w:pStyle w:val="TOC3"/>
            <w:rPr>
              <w:rFonts w:asciiTheme="minorHAnsi" w:hAnsiTheme="minorHAnsi" w:cstheme="minorBidi"/>
              <w:szCs w:val="22"/>
            </w:rPr>
          </w:pPr>
          <w:hyperlink w:anchor="_Toc415494757" w:history="1">
            <w:r w:rsidR="0014605D" w:rsidRPr="007A6BB9">
              <w:rPr>
                <w:rStyle w:val="Hyperlink"/>
              </w:rPr>
              <w:t>3.1.4</w:t>
            </w:r>
            <w:r w:rsidR="0014605D">
              <w:rPr>
                <w:rFonts w:asciiTheme="minorHAnsi" w:hAnsiTheme="minorHAnsi" w:cstheme="minorBidi"/>
                <w:szCs w:val="22"/>
              </w:rPr>
              <w:tab/>
            </w:r>
            <w:r w:rsidR="0014605D" w:rsidRPr="007A6BB9">
              <w:rPr>
                <w:rStyle w:val="Hyperlink"/>
              </w:rPr>
              <w:t>Difference-in-differences</w:t>
            </w:r>
            <w:r w:rsidR="0014605D">
              <w:rPr>
                <w:webHidden/>
              </w:rPr>
              <w:tab/>
            </w:r>
            <w:r w:rsidR="0014605D">
              <w:rPr>
                <w:webHidden/>
              </w:rPr>
              <w:fldChar w:fldCharType="begin"/>
            </w:r>
            <w:r w:rsidR="0014605D">
              <w:rPr>
                <w:webHidden/>
              </w:rPr>
              <w:instrText xml:space="preserve"> PAGEREF _Toc415494757 \h </w:instrText>
            </w:r>
            <w:r w:rsidR="0014605D">
              <w:rPr>
                <w:webHidden/>
              </w:rPr>
            </w:r>
            <w:r w:rsidR="0014605D">
              <w:rPr>
                <w:webHidden/>
              </w:rPr>
              <w:fldChar w:fldCharType="separate"/>
            </w:r>
            <w:r w:rsidR="0014605D">
              <w:rPr>
                <w:webHidden/>
              </w:rPr>
              <w:t>23</w:t>
            </w:r>
            <w:r w:rsidR="0014605D">
              <w:rPr>
                <w:webHidden/>
              </w:rPr>
              <w:fldChar w:fldCharType="end"/>
            </w:r>
          </w:hyperlink>
        </w:p>
        <w:p w:rsidR="0014605D" w:rsidRDefault="001E777E">
          <w:pPr>
            <w:pStyle w:val="TOC3"/>
            <w:rPr>
              <w:rFonts w:asciiTheme="minorHAnsi" w:hAnsiTheme="minorHAnsi" w:cstheme="minorBidi"/>
              <w:szCs w:val="22"/>
            </w:rPr>
          </w:pPr>
          <w:hyperlink w:anchor="_Toc415494758" w:history="1">
            <w:r w:rsidR="0014605D" w:rsidRPr="007A6BB9">
              <w:rPr>
                <w:rStyle w:val="Hyperlink"/>
              </w:rPr>
              <w:t>3.1.5</w:t>
            </w:r>
            <w:r w:rsidR="0014605D">
              <w:rPr>
                <w:rFonts w:asciiTheme="minorHAnsi" w:hAnsiTheme="minorHAnsi" w:cstheme="minorBidi"/>
                <w:szCs w:val="22"/>
              </w:rPr>
              <w:tab/>
            </w:r>
            <w:r w:rsidR="0014605D" w:rsidRPr="007A6BB9">
              <w:rPr>
                <w:rStyle w:val="Hyperlink"/>
              </w:rPr>
              <w:t>Individual Customers Regressions</w:t>
            </w:r>
            <w:r w:rsidR="0014605D">
              <w:rPr>
                <w:webHidden/>
              </w:rPr>
              <w:tab/>
            </w:r>
            <w:r w:rsidR="0014605D">
              <w:rPr>
                <w:webHidden/>
              </w:rPr>
              <w:fldChar w:fldCharType="begin"/>
            </w:r>
            <w:r w:rsidR="0014605D">
              <w:rPr>
                <w:webHidden/>
              </w:rPr>
              <w:instrText xml:space="preserve"> PAGEREF _Toc415494758 \h </w:instrText>
            </w:r>
            <w:r w:rsidR="0014605D">
              <w:rPr>
                <w:webHidden/>
              </w:rPr>
            </w:r>
            <w:r w:rsidR="0014605D">
              <w:rPr>
                <w:webHidden/>
              </w:rPr>
              <w:fldChar w:fldCharType="separate"/>
            </w:r>
            <w:r w:rsidR="0014605D">
              <w:rPr>
                <w:webHidden/>
              </w:rPr>
              <w:t>25</w:t>
            </w:r>
            <w:r w:rsidR="0014605D">
              <w:rPr>
                <w:webHidden/>
              </w:rPr>
              <w:fldChar w:fldCharType="end"/>
            </w:r>
          </w:hyperlink>
        </w:p>
        <w:p w:rsidR="0014605D" w:rsidRDefault="001E777E">
          <w:pPr>
            <w:pStyle w:val="TOC2"/>
            <w:rPr>
              <w:rFonts w:asciiTheme="minorHAnsi" w:hAnsiTheme="minorHAnsi"/>
            </w:rPr>
          </w:pPr>
          <w:hyperlink w:anchor="_Toc415494759" w:history="1">
            <w:r w:rsidR="0014605D" w:rsidRPr="007A6BB9">
              <w:rPr>
                <w:rStyle w:val="Hyperlink"/>
              </w:rPr>
              <w:t>3.2</w:t>
            </w:r>
            <w:r w:rsidR="0014605D">
              <w:rPr>
                <w:rFonts w:asciiTheme="minorHAnsi" w:hAnsiTheme="minorHAnsi"/>
              </w:rPr>
              <w:tab/>
            </w:r>
            <w:r w:rsidR="0014605D" w:rsidRPr="007A6BB9">
              <w:rPr>
                <w:rStyle w:val="Hyperlink"/>
              </w:rPr>
              <w:t>Ex Ante Load Impact Estimation</w:t>
            </w:r>
            <w:r w:rsidR="0014605D">
              <w:rPr>
                <w:webHidden/>
              </w:rPr>
              <w:tab/>
            </w:r>
            <w:r w:rsidR="0014605D">
              <w:rPr>
                <w:webHidden/>
              </w:rPr>
              <w:fldChar w:fldCharType="begin"/>
            </w:r>
            <w:r w:rsidR="0014605D">
              <w:rPr>
                <w:webHidden/>
              </w:rPr>
              <w:instrText xml:space="preserve"> PAGEREF _Toc415494759 \h </w:instrText>
            </w:r>
            <w:r w:rsidR="0014605D">
              <w:rPr>
                <w:webHidden/>
              </w:rPr>
            </w:r>
            <w:r w:rsidR="0014605D">
              <w:rPr>
                <w:webHidden/>
              </w:rPr>
              <w:fldChar w:fldCharType="separate"/>
            </w:r>
            <w:r w:rsidR="0014605D">
              <w:rPr>
                <w:webHidden/>
              </w:rPr>
              <w:t>25</w:t>
            </w:r>
            <w:r w:rsidR="0014605D">
              <w:rPr>
                <w:webHidden/>
              </w:rPr>
              <w:fldChar w:fldCharType="end"/>
            </w:r>
          </w:hyperlink>
        </w:p>
        <w:p w:rsidR="0014605D" w:rsidRDefault="001E777E">
          <w:pPr>
            <w:pStyle w:val="TOC3"/>
            <w:rPr>
              <w:rFonts w:asciiTheme="minorHAnsi" w:hAnsiTheme="minorHAnsi" w:cstheme="minorBidi"/>
              <w:szCs w:val="22"/>
            </w:rPr>
          </w:pPr>
          <w:hyperlink w:anchor="_Toc415494760" w:history="1">
            <w:r w:rsidR="0014605D" w:rsidRPr="007A6BB9">
              <w:rPr>
                <w:rStyle w:val="Hyperlink"/>
              </w:rPr>
              <w:t>3.2.1</w:t>
            </w:r>
            <w:r w:rsidR="0014605D">
              <w:rPr>
                <w:rFonts w:asciiTheme="minorHAnsi" w:hAnsiTheme="minorHAnsi" w:cstheme="minorBidi"/>
                <w:szCs w:val="22"/>
              </w:rPr>
              <w:tab/>
            </w:r>
            <w:r w:rsidR="0014605D" w:rsidRPr="007A6BB9">
              <w:rPr>
                <w:rStyle w:val="Hyperlink"/>
              </w:rPr>
              <w:t>Ex Ante Methodology</w:t>
            </w:r>
            <w:r w:rsidR="0014605D">
              <w:rPr>
                <w:webHidden/>
              </w:rPr>
              <w:tab/>
            </w:r>
            <w:r w:rsidR="0014605D">
              <w:rPr>
                <w:webHidden/>
              </w:rPr>
              <w:fldChar w:fldCharType="begin"/>
            </w:r>
            <w:r w:rsidR="0014605D">
              <w:rPr>
                <w:webHidden/>
              </w:rPr>
              <w:instrText xml:space="preserve"> PAGEREF _Toc415494760 \h </w:instrText>
            </w:r>
            <w:r w:rsidR="0014605D">
              <w:rPr>
                <w:webHidden/>
              </w:rPr>
            </w:r>
            <w:r w:rsidR="0014605D">
              <w:rPr>
                <w:webHidden/>
              </w:rPr>
              <w:fldChar w:fldCharType="separate"/>
            </w:r>
            <w:r w:rsidR="0014605D">
              <w:rPr>
                <w:webHidden/>
              </w:rPr>
              <w:t>26</w:t>
            </w:r>
            <w:r w:rsidR="0014605D">
              <w:rPr>
                <w:webHidden/>
              </w:rPr>
              <w:fldChar w:fldCharType="end"/>
            </w:r>
          </w:hyperlink>
        </w:p>
        <w:p w:rsidR="0014605D" w:rsidRDefault="001E777E">
          <w:pPr>
            <w:pStyle w:val="TOC3"/>
            <w:rPr>
              <w:rFonts w:asciiTheme="minorHAnsi" w:hAnsiTheme="minorHAnsi" w:cstheme="minorBidi"/>
              <w:szCs w:val="22"/>
            </w:rPr>
          </w:pPr>
          <w:hyperlink w:anchor="_Toc415494761" w:history="1">
            <w:r w:rsidR="0014605D" w:rsidRPr="007A6BB9">
              <w:rPr>
                <w:rStyle w:val="Hyperlink"/>
              </w:rPr>
              <w:t>3.2.2</w:t>
            </w:r>
            <w:r w:rsidR="0014605D">
              <w:rPr>
                <w:rFonts w:asciiTheme="minorHAnsi" w:hAnsiTheme="minorHAnsi" w:cstheme="minorBidi"/>
                <w:szCs w:val="22"/>
              </w:rPr>
              <w:tab/>
            </w:r>
            <w:r w:rsidR="0014605D" w:rsidRPr="007A6BB9">
              <w:rPr>
                <w:rStyle w:val="Hyperlink"/>
              </w:rPr>
              <w:t>Estimating Ex Ante Weather Conditions</w:t>
            </w:r>
            <w:r w:rsidR="0014605D">
              <w:rPr>
                <w:webHidden/>
              </w:rPr>
              <w:tab/>
            </w:r>
            <w:r w:rsidR="0014605D">
              <w:rPr>
                <w:webHidden/>
              </w:rPr>
              <w:fldChar w:fldCharType="begin"/>
            </w:r>
            <w:r w:rsidR="0014605D">
              <w:rPr>
                <w:webHidden/>
              </w:rPr>
              <w:instrText xml:space="preserve"> PAGEREF _Toc415494761 \h </w:instrText>
            </w:r>
            <w:r w:rsidR="0014605D">
              <w:rPr>
                <w:webHidden/>
              </w:rPr>
            </w:r>
            <w:r w:rsidR="0014605D">
              <w:rPr>
                <w:webHidden/>
              </w:rPr>
              <w:fldChar w:fldCharType="separate"/>
            </w:r>
            <w:r w:rsidR="0014605D">
              <w:rPr>
                <w:webHidden/>
              </w:rPr>
              <w:t>27</w:t>
            </w:r>
            <w:r w:rsidR="0014605D">
              <w:rPr>
                <w:webHidden/>
              </w:rPr>
              <w:fldChar w:fldCharType="end"/>
            </w:r>
          </w:hyperlink>
        </w:p>
        <w:p w:rsidR="0014605D" w:rsidRDefault="001E777E">
          <w:pPr>
            <w:pStyle w:val="TOC1"/>
            <w:rPr>
              <w:rFonts w:asciiTheme="minorHAnsi" w:hAnsiTheme="minorHAnsi"/>
            </w:rPr>
          </w:pPr>
          <w:hyperlink w:anchor="_Toc415494762" w:history="1">
            <w:r w:rsidR="0014605D" w:rsidRPr="007A6BB9">
              <w:rPr>
                <w:rStyle w:val="Hyperlink"/>
              </w:rPr>
              <w:t>4</w:t>
            </w:r>
            <w:r w:rsidR="0014605D">
              <w:rPr>
                <w:rFonts w:asciiTheme="minorHAnsi" w:hAnsiTheme="minorHAnsi"/>
              </w:rPr>
              <w:tab/>
            </w:r>
            <w:r w:rsidR="0014605D" w:rsidRPr="007A6BB9">
              <w:rPr>
                <w:rStyle w:val="Hyperlink"/>
              </w:rPr>
              <w:t>PG&amp;E Ex Post Load Impacts</w:t>
            </w:r>
            <w:r w:rsidR="0014605D">
              <w:rPr>
                <w:webHidden/>
              </w:rPr>
              <w:tab/>
            </w:r>
            <w:r w:rsidR="0014605D">
              <w:rPr>
                <w:webHidden/>
              </w:rPr>
              <w:fldChar w:fldCharType="begin"/>
            </w:r>
            <w:r w:rsidR="0014605D">
              <w:rPr>
                <w:webHidden/>
              </w:rPr>
              <w:instrText xml:space="preserve"> PAGEREF _Toc415494762 \h </w:instrText>
            </w:r>
            <w:r w:rsidR="0014605D">
              <w:rPr>
                <w:webHidden/>
              </w:rPr>
            </w:r>
            <w:r w:rsidR="0014605D">
              <w:rPr>
                <w:webHidden/>
              </w:rPr>
              <w:fldChar w:fldCharType="separate"/>
            </w:r>
            <w:r w:rsidR="0014605D">
              <w:rPr>
                <w:webHidden/>
              </w:rPr>
              <w:t>32</w:t>
            </w:r>
            <w:r w:rsidR="0014605D">
              <w:rPr>
                <w:webHidden/>
              </w:rPr>
              <w:fldChar w:fldCharType="end"/>
            </w:r>
          </w:hyperlink>
        </w:p>
        <w:p w:rsidR="0014605D" w:rsidRDefault="001E777E">
          <w:pPr>
            <w:pStyle w:val="TOC2"/>
            <w:rPr>
              <w:rFonts w:asciiTheme="minorHAnsi" w:hAnsiTheme="minorHAnsi"/>
            </w:rPr>
          </w:pPr>
          <w:hyperlink w:anchor="_Toc415494763" w:history="1">
            <w:r w:rsidR="0014605D" w:rsidRPr="007A6BB9">
              <w:rPr>
                <w:rStyle w:val="Hyperlink"/>
              </w:rPr>
              <w:t>4.1</w:t>
            </w:r>
            <w:r w:rsidR="0014605D">
              <w:rPr>
                <w:rFonts w:asciiTheme="minorHAnsi" w:hAnsiTheme="minorHAnsi"/>
              </w:rPr>
              <w:tab/>
            </w:r>
            <w:r w:rsidR="0014605D" w:rsidRPr="007A6BB9">
              <w:rPr>
                <w:rStyle w:val="Hyperlink"/>
              </w:rPr>
              <w:t>Average Event Day Impacts</w:t>
            </w:r>
            <w:r w:rsidR="0014605D">
              <w:rPr>
                <w:webHidden/>
              </w:rPr>
              <w:tab/>
            </w:r>
            <w:r w:rsidR="0014605D">
              <w:rPr>
                <w:webHidden/>
              </w:rPr>
              <w:fldChar w:fldCharType="begin"/>
            </w:r>
            <w:r w:rsidR="0014605D">
              <w:rPr>
                <w:webHidden/>
              </w:rPr>
              <w:instrText xml:space="preserve"> PAGEREF _Toc415494763 \h </w:instrText>
            </w:r>
            <w:r w:rsidR="0014605D">
              <w:rPr>
                <w:webHidden/>
              </w:rPr>
            </w:r>
            <w:r w:rsidR="0014605D">
              <w:rPr>
                <w:webHidden/>
              </w:rPr>
              <w:fldChar w:fldCharType="separate"/>
            </w:r>
            <w:r w:rsidR="0014605D">
              <w:rPr>
                <w:webHidden/>
              </w:rPr>
              <w:t>34</w:t>
            </w:r>
            <w:r w:rsidR="0014605D">
              <w:rPr>
                <w:webHidden/>
              </w:rPr>
              <w:fldChar w:fldCharType="end"/>
            </w:r>
          </w:hyperlink>
        </w:p>
        <w:p w:rsidR="0014605D" w:rsidRDefault="001E777E">
          <w:pPr>
            <w:pStyle w:val="TOC2"/>
            <w:rPr>
              <w:rFonts w:asciiTheme="minorHAnsi" w:hAnsiTheme="minorHAnsi"/>
            </w:rPr>
          </w:pPr>
          <w:hyperlink w:anchor="_Toc415494764" w:history="1">
            <w:r w:rsidR="0014605D" w:rsidRPr="007A6BB9">
              <w:rPr>
                <w:rStyle w:val="Hyperlink"/>
              </w:rPr>
              <w:t>4.2</w:t>
            </w:r>
            <w:r w:rsidR="0014605D">
              <w:rPr>
                <w:rFonts w:asciiTheme="minorHAnsi" w:hAnsiTheme="minorHAnsi"/>
              </w:rPr>
              <w:tab/>
            </w:r>
            <w:r w:rsidR="0014605D" w:rsidRPr="007A6BB9">
              <w:rPr>
                <w:rStyle w:val="Hyperlink"/>
              </w:rPr>
              <w:t>Load Impacts by Industry</w:t>
            </w:r>
            <w:r w:rsidR="0014605D">
              <w:rPr>
                <w:webHidden/>
              </w:rPr>
              <w:tab/>
            </w:r>
            <w:r w:rsidR="0014605D">
              <w:rPr>
                <w:webHidden/>
              </w:rPr>
              <w:fldChar w:fldCharType="begin"/>
            </w:r>
            <w:r w:rsidR="0014605D">
              <w:rPr>
                <w:webHidden/>
              </w:rPr>
              <w:instrText xml:space="preserve"> PAGEREF _Toc415494764 \h </w:instrText>
            </w:r>
            <w:r w:rsidR="0014605D">
              <w:rPr>
                <w:webHidden/>
              </w:rPr>
            </w:r>
            <w:r w:rsidR="0014605D">
              <w:rPr>
                <w:webHidden/>
              </w:rPr>
              <w:fldChar w:fldCharType="separate"/>
            </w:r>
            <w:r w:rsidR="0014605D">
              <w:rPr>
                <w:webHidden/>
              </w:rPr>
              <w:t>36</w:t>
            </w:r>
            <w:r w:rsidR="0014605D">
              <w:rPr>
                <w:webHidden/>
              </w:rPr>
              <w:fldChar w:fldCharType="end"/>
            </w:r>
          </w:hyperlink>
        </w:p>
        <w:p w:rsidR="0014605D" w:rsidRDefault="001E777E">
          <w:pPr>
            <w:pStyle w:val="TOC2"/>
            <w:rPr>
              <w:rFonts w:asciiTheme="minorHAnsi" w:hAnsiTheme="minorHAnsi"/>
            </w:rPr>
          </w:pPr>
          <w:hyperlink w:anchor="_Toc415494765" w:history="1">
            <w:r w:rsidR="0014605D" w:rsidRPr="007A6BB9">
              <w:rPr>
                <w:rStyle w:val="Hyperlink"/>
              </w:rPr>
              <w:t>4.3</w:t>
            </w:r>
            <w:r w:rsidR="0014605D">
              <w:rPr>
                <w:rFonts w:asciiTheme="minorHAnsi" w:hAnsiTheme="minorHAnsi"/>
              </w:rPr>
              <w:tab/>
            </w:r>
            <w:r w:rsidR="0014605D" w:rsidRPr="007A6BB9">
              <w:rPr>
                <w:rStyle w:val="Hyperlink"/>
              </w:rPr>
              <w:t>Load Impacts by Local Capacity Area and Customer Size</w:t>
            </w:r>
            <w:r w:rsidR="0014605D">
              <w:rPr>
                <w:webHidden/>
              </w:rPr>
              <w:tab/>
            </w:r>
            <w:r w:rsidR="0014605D">
              <w:rPr>
                <w:webHidden/>
              </w:rPr>
              <w:fldChar w:fldCharType="begin"/>
            </w:r>
            <w:r w:rsidR="0014605D">
              <w:rPr>
                <w:webHidden/>
              </w:rPr>
              <w:instrText xml:space="preserve"> PAGEREF _Toc415494765 \h </w:instrText>
            </w:r>
            <w:r w:rsidR="0014605D">
              <w:rPr>
                <w:webHidden/>
              </w:rPr>
            </w:r>
            <w:r w:rsidR="0014605D">
              <w:rPr>
                <w:webHidden/>
              </w:rPr>
              <w:fldChar w:fldCharType="separate"/>
            </w:r>
            <w:r w:rsidR="0014605D">
              <w:rPr>
                <w:webHidden/>
              </w:rPr>
              <w:t>37</w:t>
            </w:r>
            <w:r w:rsidR="0014605D">
              <w:rPr>
                <w:webHidden/>
              </w:rPr>
              <w:fldChar w:fldCharType="end"/>
            </w:r>
          </w:hyperlink>
        </w:p>
        <w:p w:rsidR="0014605D" w:rsidRDefault="001E777E">
          <w:pPr>
            <w:pStyle w:val="TOC2"/>
            <w:rPr>
              <w:rFonts w:asciiTheme="minorHAnsi" w:hAnsiTheme="minorHAnsi"/>
            </w:rPr>
          </w:pPr>
          <w:hyperlink w:anchor="_Toc415494766" w:history="1">
            <w:r w:rsidR="0014605D" w:rsidRPr="007A6BB9">
              <w:rPr>
                <w:rStyle w:val="Hyperlink"/>
              </w:rPr>
              <w:t>4.4</w:t>
            </w:r>
            <w:r w:rsidR="0014605D">
              <w:rPr>
                <w:rFonts w:asciiTheme="minorHAnsi" w:hAnsiTheme="minorHAnsi"/>
              </w:rPr>
              <w:tab/>
            </w:r>
            <w:r w:rsidR="0014605D" w:rsidRPr="007A6BB9">
              <w:rPr>
                <w:rStyle w:val="Hyperlink"/>
              </w:rPr>
              <w:t>Load Impacts for Multi-DR Program Participants</w:t>
            </w:r>
            <w:r w:rsidR="0014605D">
              <w:rPr>
                <w:webHidden/>
              </w:rPr>
              <w:tab/>
            </w:r>
            <w:r w:rsidR="0014605D">
              <w:rPr>
                <w:webHidden/>
              </w:rPr>
              <w:fldChar w:fldCharType="begin"/>
            </w:r>
            <w:r w:rsidR="0014605D">
              <w:rPr>
                <w:webHidden/>
              </w:rPr>
              <w:instrText xml:space="preserve"> PAGEREF _Toc415494766 \h </w:instrText>
            </w:r>
            <w:r w:rsidR="0014605D">
              <w:rPr>
                <w:webHidden/>
              </w:rPr>
            </w:r>
            <w:r w:rsidR="0014605D">
              <w:rPr>
                <w:webHidden/>
              </w:rPr>
              <w:fldChar w:fldCharType="separate"/>
            </w:r>
            <w:r w:rsidR="0014605D">
              <w:rPr>
                <w:webHidden/>
              </w:rPr>
              <w:t>40</w:t>
            </w:r>
            <w:r w:rsidR="0014605D">
              <w:rPr>
                <w:webHidden/>
              </w:rPr>
              <w:fldChar w:fldCharType="end"/>
            </w:r>
          </w:hyperlink>
        </w:p>
        <w:p w:rsidR="0014605D" w:rsidRDefault="001E777E">
          <w:pPr>
            <w:pStyle w:val="TOC2"/>
            <w:rPr>
              <w:rFonts w:asciiTheme="minorHAnsi" w:hAnsiTheme="minorHAnsi"/>
            </w:rPr>
          </w:pPr>
          <w:hyperlink w:anchor="_Toc415494767" w:history="1">
            <w:r w:rsidR="0014605D" w:rsidRPr="007A6BB9">
              <w:rPr>
                <w:rStyle w:val="Hyperlink"/>
              </w:rPr>
              <w:t>4.5</w:t>
            </w:r>
            <w:r w:rsidR="0014605D">
              <w:rPr>
                <w:rFonts w:asciiTheme="minorHAnsi" w:hAnsiTheme="minorHAnsi"/>
              </w:rPr>
              <w:tab/>
            </w:r>
            <w:r w:rsidR="0014605D" w:rsidRPr="007A6BB9">
              <w:rPr>
                <w:rStyle w:val="Hyperlink"/>
              </w:rPr>
              <w:t>TI and AutoDR Load Impacts and Realization Rates</w:t>
            </w:r>
            <w:r w:rsidR="0014605D">
              <w:rPr>
                <w:webHidden/>
              </w:rPr>
              <w:tab/>
            </w:r>
            <w:r w:rsidR="0014605D">
              <w:rPr>
                <w:webHidden/>
              </w:rPr>
              <w:fldChar w:fldCharType="begin"/>
            </w:r>
            <w:r w:rsidR="0014605D">
              <w:rPr>
                <w:webHidden/>
              </w:rPr>
              <w:instrText xml:space="preserve"> PAGEREF _Toc415494767 \h </w:instrText>
            </w:r>
            <w:r w:rsidR="0014605D">
              <w:rPr>
                <w:webHidden/>
              </w:rPr>
            </w:r>
            <w:r w:rsidR="0014605D">
              <w:rPr>
                <w:webHidden/>
              </w:rPr>
              <w:fldChar w:fldCharType="separate"/>
            </w:r>
            <w:r w:rsidR="0014605D">
              <w:rPr>
                <w:webHidden/>
              </w:rPr>
              <w:t>41</w:t>
            </w:r>
            <w:r w:rsidR="0014605D">
              <w:rPr>
                <w:webHidden/>
              </w:rPr>
              <w:fldChar w:fldCharType="end"/>
            </w:r>
          </w:hyperlink>
        </w:p>
        <w:p w:rsidR="0014605D" w:rsidRDefault="001E777E">
          <w:pPr>
            <w:pStyle w:val="TOC2"/>
            <w:rPr>
              <w:rFonts w:asciiTheme="minorHAnsi" w:hAnsiTheme="minorHAnsi"/>
            </w:rPr>
          </w:pPr>
          <w:hyperlink w:anchor="_Toc415494768" w:history="1">
            <w:r w:rsidR="0014605D" w:rsidRPr="007A6BB9">
              <w:rPr>
                <w:rStyle w:val="Hyperlink"/>
              </w:rPr>
              <w:t>4.6</w:t>
            </w:r>
            <w:r w:rsidR="0014605D">
              <w:rPr>
                <w:rFonts w:asciiTheme="minorHAnsi" w:hAnsiTheme="minorHAnsi"/>
              </w:rPr>
              <w:tab/>
            </w:r>
            <w:r w:rsidR="0014605D" w:rsidRPr="007A6BB9">
              <w:rPr>
                <w:rStyle w:val="Hyperlink"/>
              </w:rPr>
              <w:t>Early Enrollment Pilot Ex Post Load Impacts</w:t>
            </w:r>
            <w:r w:rsidR="0014605D">
              <w:rPr>
                <w:webHidden/>
              </w:rPr>
              <w:tab/>
            </w:r>
            <w:r w:rsidR="0014605D">
              <w:rPr>
                <w:webHidden/>
              </w:rPr>
              <w:fldChar w:fldCharType="begin"/>
            </w:r>
            <w:r w:rsidR="0014605D">
              <w:rPr>
                <w:webHidden/>
              </w:rPr>
              <w:instrText xml:space="preserve"> PAGEREF _Toc415494768 \h </w:instrText>
            </w:r>
            <w:r w:rsidR="0014605D">
              <w:rPr>
                <w:webHidden/>
              </w:rPr>
            </w:r>
            <w:r w:rsidR="0014605D">
              <w:rPr>
                <w:webHidden/>
              </w:rPr>
              <w:fldChar w:fldCharType="separate"/>
            </w:r>
            <w:r w:rsidR="0014605D">
              <w:rPr>
                <w:webHidden/>
              </w:rPr>
              <w:t>42</w:t>
            </w:r>
            <w:r w:rsidR="0014605D">
              <w:rPr>
                <w:webHidden/>
              </w:rPr>
              <w:fldChar w:fldCharType="end"/>
            </w:r>
          </w:hyperlink>
        </w:p>
        <w:p w:rsidR="0014605D" w:rsidRDefault="001E777E">
          <w:pPr>
            <w:pStyle w:val="TOC1"/>
            <w:rPr>
              <w:rFonts w:asciiTheme="minorHAnsi" w:hAnsiTheme="minorHAnsi"/>
            </w:rPr>
          </w:pPr>
          <w:hyperlink w:anchor="_Toc415494769" w:history="1">
            <w:r w:rsidR="0014605D" w:rsidRPr="007A6BB9">
              <w:rPr>
                <w:rStyle w:val="Hyperlink"/>
              </w:rPr>
              <w:t>5</w:t>
            </w:r>
            <w:r w:rsidR="0014605D">
              <w:rPr>
                <w:rFonts w:asciiTheme="minorHAnsi" w:hAnsiTheme="minorHAnsi"/>
              </w:rPr>
              <w:tab/>
            </w:r>
            <w:r w:rsidR="0014605D" w:rsidRPr="007A6BB9">
              <w:rPr>
                <w:rStyle w:val="Hyperlink"/>
              </w:rPr>
              <w:t>PG&amp;E Ex Ante Load Impacts</w:t>
            </w:r>
            <w:r w:rsidR="0014605D">
              <w:rPr>
                <w:webHidden/>
              </w:rPr>
              <w:tab/>
            </w:r>
            <w:r w:rsidR="0014605D">
              <w:rPr>
                <w:webHidden/>
              </w:rPr>
              <w:fldChar w:fldCharType="begin"/>
            </w:r>
            <w:r w:rsidR="0014605D">
              <w:rPr>
                <w:webHidden/>
              </w:rPr>
              <w:instrText xml:space="preserve"> PAGEREF _Toc415494769 \h </w:instrText>
            </w:r>
            <w:r w:rsidR="0014605D">
              <w:rPr>
                <w:webHidden/>
              </w:rPr>
            </w:r>
            <w:r w:rsidR="0014605D">
              <w:rPr>
                <w:webHidden/>
              </w:rPr>
              <w:fldChar w:fldCharType="separate"/>
            </w:r>
            <w:r w:rsidR="0014605D">
              <w:rPr>
                <w:webHidden/>
              </w:rPr>
              <w:t>45</w:t>
            </w:r>
            <w:r w:rsidR="0014605D">
              <w:rPr>
                <w:webHidden/>
              </w:rPr>
              <w:fldChar w:fldCharType="end"/>
            </w:r>
          </w:hyperlink>
        </w:p>
        <w:p w:rsidR="0014605D" w:rsidRDefault="001E777E">
          <w:pPr>
            <w:pStyle w:val="TOC2"/>
            <w:rPr>
              <w:rFonts w:asciiTheme="minorHAnsi" w:hAnsiTheme="minorHAnsi"/>
            </w:rPr>
          </w:pPr>
          <w:hyperlink w:anchor="_Toc415494770" w:history="1">
            <w:r w:rsidR="0014605D" w:rsidRPr="007A6BB9">
              <w:rPr>
                <w:rStyle w:val="Hyperlink"/>
              </w:rPr>
              <w:t>5.1</w:t>
            </w:r>
            <w:r w:rsidR="0014605D">
              <w:rPr>
                <w:rFonts w:asciiTheme="minorHAnsi" w:hAnsiTheme="minorHAnsi"/>
              </w:rPr>
              <w:tab/>
            </w:r>
            <w:r w:rsidR="0014605D" w:rsidRPr="007A6BB9">
              <w:rPr>
                <w:rStyle w:val="Hyperlink"/>
              </w:rPr>
              <w:t>Large C&amp;I Ex Ante Load Impacts</w:t>
            </w:r>
            <w:r w:rsidR="0014605D">
              <w:rPr>
                <w:webHidden/>
              </w:rPr>
              <w:tab/>
            </w:r>
            <w:r w:rsidR="0014605D">
              <w:rPr>
                <w:webHidden/>
              </w:rPr>
              <w:fldChar w:fldCharType="begin"/>
            </w:r>
            <w:r w:rsidR="0014605D">
              <w:rPr>
                <w:webHidden/>
              </w:rPr>
              <w:instrText xml:space="preserve"> PAGEREF _Toc415494770 \h </w:instrText>
            </w:r>
            <w:r w:rsidR="0014605D">
              <w:rPr>
                <w:webHidden/>
              </w:rPr>
            </w:r>
            <w:r w:rsidR="0014605D">
              <w:rPr>
                <w:webHidden/>
              </w:rPr>
              <w:fldChar w:fldCharType="separate"/>
            </w:r>
            <w:r w:rsidR="0014605D">
              <w:rPr>
                <w:webHidden/>
              </w:rPr>
              <w:t>45</w:t>
            </w:r>
            <w:r w:rsidR="0014605D">
              <w:rPr>
                <w:webHidden/>
              </w:rPr>
              <w:fldChar w:fldCharType="end"/>
            </w:r>
          </w:hyperlink>
        </w:p>
        <w:p w:rsidR="0014605D" w:rsidRDefault="001E777E">
          <w:pPr>
            <w:pStyle w:val="TOC3"/>
            <w:rPr>
              <w:rFonts w:asciiTheme="minorHAnsi" w:hAnsiTheme="minorHAnsi" w:cstheme="minorBidi"/>
              <w:szCs w:val="22"/>
            </w:rPr>
          </w:pPr>
          <w:hyperlink w:anchor="_Toc415494771" w:history="1">
            <w:r w:rsidR="0014605D" w:rsidRPr="007A6BB9">
              <w:rPr>
                <w:rStyle w:val="Hyperlink"/>
                <w:rFonts w:cs="Calibri"/>
              </w:rPr>
              <w:t>5.1.1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_Toc415494771 \h </w:instrText>
            </w:r>
            <w:r w:rsidR="0014605D">
              <w:rPr>
                <w:webHidden/>
              </w:rPr>
            </w:r>
            <w:r w:rsidR="0014605D">
              <w:rPr>
                <w:webHidden/>
              </w:rPr>
              <w:fldChar w:fldCharType="separate"/>
            </w:r>
            <w:r w:rsidR="0014605D">
              <w:rPr>
                <w:webHidden/>
              </w:rPr>
              <w:t>52</w:t>
            </w:r>
            <w:r w:rsidR="0014605D">
              <w:rPr>
                <w:webHidden/>
              </w:rPr>
              <w:fldChar w:fldCharType="end"/>
            </w:r>
          </w:hyperlink>
        </w:p>
        <w:p w:rsidR="0014605D" w:rsidRDefault="001E777E">
          <w:pPr>
            <w:pStyle w:val="TOC3"/>
            <w:rPr>
              <w:rFonts w:asciiTheme="minorHAnsi" w:hAnsiTheme="minorHAnsi" w:cstheme="minorBidi"/>
              <w:szCs w:val="22"/>
            </w:rPr>
          </w:pPr>
          <w:hyperlink w:anchor="_Toc415494772" w:history="1">
            <w:r w:rsidR="0014605D" w:rsidRPr="007A6BB9">
              <w:rPr>
                <w:rStyle w:val="Hyperlink"/>
              </w:rPr>
              <w:t>5.1.2</w:t>
            </w:r>
            <w:r w:rsidR="0014605D">
              <w:rPr>
                <w:rFonts w:asciiTheme="minorHAnsi" w:hAnsiTheme="minorHAnsi" w:cstheme="minorBidi"/>
                <w:szCs w:val="22"/>
              </w:rPr>
              <w:tab/>
            </w:r>
            <w:r w:rsidR="0014605D" w:rsidRPr="007A6BB9">
              <w:rPr>
                <w:rStyle w:val="Hyperlink"/>
              </w:rPr>
              <w:t>Ex Ante Load Impact Uncertainty</w:t>
            </w:r>
            <w:r w:rsidR="0014605D">
              <w:rPr>
                <w:webHidden/>
              </w:rPr>
              <w:tab/>
            </w:r>
            <w:r w:rsidR="0014605D">
              <w:rPr>
                <w:webHidden/>
              </w:rPr>
              <w:fldChar w:fldCharType="begin"/>
            </w:r>
            <w:r w:rsidR="0014605D">
              <w:rPr>
                <w:webHidden/>
              </w:rPr>
              <w:instrText xml:space="preserve"> PAGEREF _Toc415494772 \h </w:instrText>
            </w:r>
            <w:r w:rsidR="0014605D">
              <w:rPr>
                <w:webHidden/>
              </w:rPr>
            </w:r>
            <w:r w:rsidR="0014605D">
              <w:rPr>
                <w:webHidden/>
              </w:rPr>
              <w:fldChar w:fldCharType="separate"/>
            </w:r>
            <w:r w:rsidR="0014605D">
              <w:rPr>
                <w:webHidden/>
              </w:rPr>
              <w:t>53</w:t>
            </w:r>
            <w:r w:rsidR="0014605D">
              <w:rPr>
                <w:webHidden/>
              </w:rPr>
              <w:fldChar w:fldCharType="end"/>
            </w:r>
          </w:hyperlink>
        </w:p>
        <w:p w:rsidR="0014605D" w:rsidRDefault="001E777E">
          <w:pPr>
            <w:pStyle w:val="TOC3"/>
            <w:rPr>
              <w:rFonts w:asciiTheme="minorHAnsi" w:hAnsiTheme="minorHAnsi" w:cstheme="minorBidi"/>
              <w:szCs w:val="22"/>
            </w:rPr>
          </w:pPr>
          <w:hyperlink w:anchor="_Toc415494773" w:history="1">
            <w:r w:rsidR="0014605D" w:rsidRPr="007A6BB9">
              <w:rPr>
                <w:rStyle w:val="Hyperlink"/>
                <w:rFonts w:cs="Calibri"/>
              </w:rPr>
              <w:t>5.1.3</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_Toc415494773 \h </w:instrText>
            </w:r>
            <w:r w:rsidR="0014605D">
              <w:rPr>
                <w:webHidden/>
              </w:rPr>
            </w:r>
            <w:r w:rsidR="0014605D">
              <w:rPr>
                <w:webHidden/>
              </w:rPr>
              <w:fldChar w:fldCharType="separate"/>
            </w:r>
            <w:r w:rsidR="0014605D">
              <w:rPr>
                <w:webHidden/>
              </w:rPr>
              <w:t>54</w:t>
            </w:r>
            <w:r w:rsidR="0014605D">
              <w:rPr>
                <w:webHidden/>
              </w:rPr>
              <w:fldChar w:fldCharType="end"/>
            </w:r>
          </w:hyperlink>
        </w:p>
        <w:p w:rsidR="0014605D" w:rsidRDefault="001E777E">
          <w:pPr>
            <w:pStyle w:val="TOC3"/>
            <w:rPr>
              <w:rFonts w:asciiTheme="minorHAnsi" w:hAnsiTheme="minorHAnsi" w:cstheme="minorBidi"/>
              <w:szCs w:val="22"/>
            </w:rPr>
          </w:pPr>
          <w:hyperlink w:anchor="_Toc415494774" w:history="1">
            <w:r w:rsidR="0014605D" w:rsidRPr="007A6BB9">
              <w:rPr>
                <w:rStyle w:val="Hyperlink"/>
              </w:rPr>
              <w:t>5.1.4</w:t>
            </w:r>
            <w:r w:rsidR="0014605D">
              <w:rPr>
                <w:rFonts w:asciiTheme="minorHAnsi" w:hAnsiTheme="minorHAnsi" w:cstheme="minorBidi"/>
                <w:szCs w:val="22"/>
              </w:rPr>
              <w:tab/>
            </w:r>
            <w:r w:rsidR="0014605D" w:rsidRPr="007A6BB9">
              <w:rPr>
                <w:rStyle w:val="Hyperlink"/>
              </w:rPr>
              <w:t>Comparison of 2013 and 2014 Ex Ante Estimates</w:t>
            </w:r>
            <w:r w:rsidR="0014605D">
              <w:rPr>
                <w:webHidden/>
              </w:rPr>
              <w:tab/>
            </w:r>
            <w:r w:rsidR="0014605D">
              <w:rPr>
                <w:webHidden/>
              </w:rPr>
              <w:fldChar w:fldCharType="begin"/>
            </w:r>
            <w:r w:rsidR="0014605D">
              <w:rPr>
                <w:webHidden/>
              </w:rPr>
              <w:instrText xml:space="preserve"> PAGEREF _Toc415494774 \h </w:instrText>
            </w:r>
            <w:r w:rsidR="0014605D">
              <w:rPr>
                <w:webHidden/>
              </w:rPr>
            </w:r>
            <w:r w:rsidR="0014605D">
              <w:rPr>
                <w:webHidden/>
              </w:rPr>
              <w:fldChar w:fldCharType="separate"/>
            </w:r>
            <w:r w:rsidR="0014605D">
              <w:rPr>
                <w:webHidden/>
              </w:rPr>
              <w:t>55</w:t>
            </w:r>
            <w:r w:rsidR="0014605D">
              <w:rPr>
                <w:webHidden/>
              </w:rPr>
              <w:fldChar w:fldCharType="end"/>
            </w:r>
          </w:hyperlink>
        </w:p>
        <w:p w:rsidR="0014605D" w:rsidRDefault="001E777E">
          <w:pPr>
            <w:pStyle w:val="TOC3"/>
            <w:rPr>
              <w:rFonts w:asciiTheme="minorHAnsi" w:hAnsiTheme="minorHAnsi" w:cstheme="minorBidi"/>
              <w:szCs w:val="22"/>
            </w:rPr>
          </w:pPr>
          <w:hyperlink w:anchor="_Toc415494775" w:history="1">
            <w:r w:rsidR="0014605D" w:rsidRPr="007A6BB9">
              <w:rPr>
                <w:rStyle w:val="Hyperlink"/>
              </w:rPr>
              <w:t>5.1.5</w:t>
            </w:r>
            <w:r w:rsidR="0014605D">
              <w:rPr>
                <w:rFonts w:asciiTheme="minorHAnsi" w:hAnsiTheme="minorHAnsi" w:cstheme="minorBidi"/>
                <w:szCs w:val="22"/>
              </w:rPr>
              <w:tab/>
            </w:r>
            <w:r w:rsidR="0014605D" w:rsidRPr="007A6BB9">
              <w:rPr>
                <w:rStyle w:val="Hyperlink"/>
              </w:rPr>
              <w:t>Relationship between Ex Post and Ex Ante Estimates</w:t>
            </w:r>
            <w:r w:rsidR="0014605D">
              <w:rPr>
                <w:webHidden/>
              </w:rPr>
              <w:tab/>
            </w:r>
            <w:r w:rsidR="0014605D">
              <w:rPr>
                <w:webHidden/>
              </w:rPr>
              <w:fldChar w:fldCharType="begin"/>
            </w:r>
            <w:r w:rsidR="0014605D">
              <w:rPr>
                <w:webHidden/>
              </w:rPr>
              <w:instrText xml:space="preserve"> PAGEREF _Toc415494775 \h </w:instrText>
            </w:r>
            <w:r w:rsidR="0014605D">
              <w:rPr>
                <w:webHidden/>
              </w:rPr>
            </w:r>
            <w:r w:rsidR="0014605D">
              <w:rPr>
                <w:webHidden/>
              </w:rPr>
              <w:fldChar w:fldCharType="separate"/>
            </w:r>
            <w:r w:rsidR="0014605D">
              <w:rPr>
                <w:webHidden/>
              </w:rPr>
              <w:t>57</w:t>
            </w:r>
            <w:r w:rsidR="0014605D">
              <w:rPr>
                <w:webHidden/>
              </w:rPr>
              <w:fldChar w:fldCharType="end"/>
            </w:r>
          </w:hyperlink>
        </w:p>
        <w:p w:rsidR="0014605D" w:rsidRDefault="001E777E">
          <w:pPr>
            <w:pStyle w:val="TOC2"/>
            <w:rPr>
              <w:rFonts w:asciiTheme="minorHAnsi" w:hAnsiTheme="minorHAnsi"/>
            </w:rPr>
          </w:pPr>
          <w:hyperlink w:anchor="_Toc415494776" w:history="1">
            <w:r w:rsidR="0014605D" w:rsidRPr="007A6BB9">
              <w:rPr>
                <w:rStyle w:val="Hyperlink"/>
              </w:rPr>
              <w:t>5.2</w:t>
            </w:r>
            <w:r w:rsidR="0014605D">
              <w:rPr>
                <w:rFonts w:asciiTheme="minorHAnsi" w:hAnsiTheme="minorHAnsi"/>
              </w:rPr>
              <w:tab/>
            </w:r>
            <w:r w:rsidR="0014605D" w:rsidRPr="007A6BB9">
              <w:rPr>
                <w:rStyle w:val="Hyperlink"/>
              </w:rPr>
              <w:t>Medium C&amp;I Ex Ante Impacts</w:t>
            </w:r>
            <w:r w:rsidR="0014605D">
              <w:rPr>
                <w:webHidden/>
              </w:rPr>
              <w:tab/>
            </w:r>
            <w:r w:rsidR="0014605D">
              <w:rPr>
                <w:webHidden/>
              </w:rPr>
              <w:fldChar w:fldCharType="begin"/>
            </w:r>
            <w:r w:rsidR="0014605D">
              <w:rPr>
                <w:webHidden/>
              </w:rPr>
              <w:instrText xml:space="preserve"> PAGEREF _Toc415494776 \h </w:instrText>
            </w:r>
            <w:r w:rsidR="0014605D">
              <w:rPr>
                <w:webHidden/>
              </w:rPr>
            </w:r>
            <w:r w:rsidR="0014605D">
              <w:rPr>
                <w:webHidden/>
              </w:rPr>
              <w:fldChar w:fldCharType="separate"/>
            </w:r>
            <w:r w:rsidR="0014605D">
              <w:rPr>
                <w:webHidden/>
              </w:rPr>
              <w:t>60</w:t>
            </w:r>
            <w:r w:rsidR="0014605D">
              <w:rPr>
                <w:webHidden/>
              </w:rPr>
              <w:fldChar w:fldCharType="end"/>
            </w:r>
          </w:hyperlink>
        </w:p>
        <w:p w:rsidR="0014605D" w:rsidRDefault="001E777E">
          <w:pPr>
            <w:pStyle w:val="TOC3"/>
            <w:rPr>
              <w:rFonts w:asciiTheme="minorHAnsi" w:hAnsiTheme="minorHAnsi" w:cstheme="minorBidi"/>
              <w:szCs w:val="22"/>
            </w:rPr>
          </w:pPr>
          <w:hyperlink w:anchor="_Toc415494777" w:history="1">
            <w:r w:rsidR="0014605D" w:rsidRPr="007A6BB9">
              <w:rPr>
                <w:rStyle w:val="Hyperlink"/>
                <w:rFonts w:cs="Calibri"/>
              </w:rPr>
              <w:t>5.2.1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_Toc415494777 \h </w:instrText>
            </w:r>
            <w:r w:rsidR="0014605D">
              <w:rPr>
                <w:webHidden/>
              </w:rPr>
            </w:r>
            <w:r w:rsidR="0014605D">
              <w:rPr>
                <w:webHidden/>
              </w:rPr>
              <w:fldChar w:fldCharType="separate"/>
            </w:r>
            <w:r w:rsidR="0014605D">
              <w:rPr>
                <w:webHidden/>
              </w:rPr>
              <w:t>61</w:t>
            </w:r>
            <w:r w:rsidR="0014605D">
              <w:rPr>
                <w:webHidden/>
              </w:rPr>
              <w:fldChar w:fldCharType="end"/>
            </w:r>
          </w:hyperlink>
        </w:p>
        <w:p w:rsidR="0014605D" w:rsidRDefault="001E777E">
          <w:pPr>
            <w:pStyle w:val="TOC3"/>
            <w:rPr>
              <w:rFonts w:asciiTheme="minorHAnsi" w:hAnsiTheme="minorHAnsi" w:cstheme="minorBidi"/>
              <w:szCs w:val="22"/>
            </w:rPr>
          </w:pPr>
          <w:hyperlink w:anchor="_Toc415494778" w:history="1">
            <w:r w:rsidR="0014605D" w:rsidRPr="007A6BB9">
              <w:rPr>
                <w:rStyle w:val="Hyperlink"/>
              </w:rPr>
              <w:t>5.2.2</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_Toc415494778 \h </w:instrText>
            </w:r>
            <w:r w:rsidR="0014605D">
              <w:rPr>
                <w:webHidden/>
              </w:rPr>
            </w:r>
            <w:r w:rsidR="0014605D">
              <w:rPr>
                <w:webHidden/>
              </w:rPr>
              <w:fldChar w:fldCharType="separate"/>
            </w:r>
            <w:r w:rsidR="0014605D">
              <w:rPr>
                <w:webHidden/>
              </w:rPr>
              <w:t>62</w:t>
            </w:r>
            <w:r w:rsidR="0014605D">
              <w:rPr>
                <w:webHidden/>
              </w:rPr>
              <w:fldChar w:fldCharType="end"/>
            </w:r>
          </w:hyperlink>
        </w:p>
        <w:p w:rsidR="0014605D" w:rsidRDefault="001E777E">
          <w:pPr>
            <w:pStyle w:val="TOC2"/>
            <w:rPr>
              <w:rFonts w:asciiTheme="minorHAnsi" w:hAnsiTheme="minorHAnsi"/>
            </w:rPr>
          </w:pPr>
          <w:hyperlink w:anchor="_Toc415494779" w:history="1">
            <w:r w:rsidR="0014605D" w:rsidRPr="007A6BB9">
              <w:rPr>
                <w:rStyle w:val="Hyperlink"/>
              </w:rPr>
              <w:t>5.3</w:t>
            </w:r>
            <w:r w:rsidR="0014605D">
              <w:rPr>
                <w:rFonts w:asciiTheme="minorHAnsi" w:hAnsiTheme="minorHAnsi"/>
              </w:rPr>
              <w:tab/>
            </w:r>
            <w:r w:rsidR="0014605D" w:rsidRPr="007A6BB9">
              <w:rPr>
                <w:rStyle w:val="Hyperlink"/>
              </w:rPr>
              <w:t>Small C&amp;I Ex Ante Impacts</w:t>
            </w:r>
            <w:r w:rsidR="0014605D">
              <w:rPr>
                <w:webHidden/>
              </w:rPr>
              <w:tab/>
            </w:r>
            <w:r w:rsidR="0014605D">
              <w:rPr>
                <w:webHidden/>
              </w:rPr>
              <w:fldChar w:fldCharType="begin"/>
            </w:r>
            <w:r w:rsidR="0014605D">
              <w:rPr>
                <w:webHidden/>
              </w:rPr>
              <w:instrText xml:space="preserve"> PAGEREF _Toc415494779 \h </w:instrText>
            </w:r>
            <w:r w:rsidR="0014605D">
              <w:rPr>
                <w:webHidden/>
              </w:rPr>
            </w:r>
            <w:r w:rsidR="0014605D">
              <w:rPr>
                <w:webHidden/>
              </w:rPr>
              <w:fldChar w:fldCharType="separate"/>
            </w:r>
            <w:r w:rsidR="0014605D">
              <w:rPr>
                <w:webHidden/>
              </w:rPr>
              <w:t>63</w:t>
            </w:r>
            <w:r w:rsidR="0014605D">
              <w:rPr>
                <w:webHidden/>
              </w:rPr>
              <w:fldChar w:fldCharType="end"/>
            </w:r>
          </w:hyperlink>
        </w:p>
        <w:p w:rsidR="0014605D" w:rsidRDefault="001E777E">
          <w:pPr>
            <w:pStyle w:val="TOC3"/>
            <w:rPr>
              <w:rFonts w:asciiTheme="minorHAnsi" w:hAnsiTheme="minorHAnsi" w:cstheme="minorBidi"/>
              <w:szCs w:val="22"/>
            </w:rPr>
          </w:pPr>
          <w:hyperlink w:anchor="_Toc415494780" w:history="1">
            <w:r w:rsidR="0014605D" w:rsidRPr="007A6BB9">
              <w:rPr>
                <w:rStyle w:val="Hyperlink"/>
                <w:rFonts w:cs="Calibri"/>
              </w:rPr>
              <w:t>5.3.1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_Toc415494780 \h </w:instrText>
            </w:r>
            <w:r w:rsidR="0014605D">
              <w:rPr>
                <w:webHidden/>
              </w:rPr>
            </w:r>
            <w:r w:rsidR="0014605D">
              <w:rPr>
                <w:webHidden/>
              </w:rPr>
              <w:fldChar w:fldCharType="separate"/>
            </w:r>
            <w:r w:rsidR="0014605D">
              <w:rPr>
                <w:webHidden/>
              </w:rPr>
              <w:t>63</w:t>
            </w:r>
            <w:r w:rsidR="0014605D">
              <w:rPr>
                <w:webHidden/>
              </w:rPr>
              <w:fldChar w:fldCharType="end"/>
            </w:r>
          </w:hyperlink>
        </w:p>
        <w:p w:rsidR="0014605D" w:rsidRDefault="001E777E">
          <w:pPr>
            <w:pStyle w:val="TOC3"/>
            <w:rPr>
              <w:rFonts w:asciiTheme="minorHAnsi" w:hAnsiTheme="minorHAnsi" w:cstheme="minorBidi"/>
              <w:szCs w:val="22"/>
            </w:rPr>
          </w:pPr>
          <w:hyperlink w:anchor="_Toc415494781" w:history="1">
            <w:r w:rsidR="0014605D" w:rsidRPr="007A6BB9">
              <w:rPr>
                <w:rStyle w:val="Hyperlink"/>
              </w:rPr>
              <w:t>5.3.2</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_Toc415494781 \h </w:instrText>
            </w:r>
            <w:r w:rsidR="0014605D">
              <w:rPr>
                <w:webHidden/>
              </w:rPr>
            </w:r>
            <w:r w:rsidR="0014605D">
              <w:rPr>
                <w:webHidden/>
              </w:rPr>
              <w:fldChar w:fldCharType="separate"/>
            </w:r>
            <w:r w:rsidR="0014605D">
              <w:rPr>
                <w:webHidden/>
              </w:rPr>
              <w:t>64</w:t>
            </w:r>
            <w:r w:rsidR="0014605D">
              <w:rPr>
                <w:webHidden/>
              </w:rPr>
              <w:fldChar w:fldCharType="end"/>
            </w:r>
          </w:hyperlink>
        </w:p>
        <w:p w:rsidR="0014605D" w:rsidRDefault="001E777E">
          <w:pPr>
            <w:pStyle w:val="TOC1"/>
            <w:rPr>
              <w:rFonts w:asciiTheme="minorHAnsi" w:hAnsiTheme="minorHAnsi"/>
            </w:rPr>
          </w:pPr>
          <w:hyperlink w:anchor="_Toc415494782" w:history="1">
            <w:r w:rsidR="0014605D" w:rsidRPr="007A6BB9">
              <w:rPr>
                <w:rStyle w:val="Hyperlink"/>
              </w:rPr>
              <w:t>6</w:t>
            </w:r>
            <w:r w:rsidR="0014605D">
              <w:rPr>
                <w:rFonts w:asciiTheme="minorHAnsi" w:hAnsiTheme="minorHAnsi"/>
              </w:rPr>
              <w:tab/>
            </w:r>
            <w:r w:rsidR="0014605D" w:rsidRPr="007A6BB9">
              <w:rPr>
                <w:rStyle w:val="Hyperlink"/>
              </w:rPr>
              <w:t>SCE Ex Post Load Impacts</w:t>
            </w:r>
            <w:r w:rsidR="0014605D">
              <w:rPr>
                <w:webHidden/>
              </w:rPr>
              <w:tab/>
            </w:r>
            <w:r w:rsidR="0014605D">
              <w:rPr>
                <w:webHidden/>
              </w:rPr>
              <w:fldChar w:fldCharType="begin"/>
            </w:r>
            <w:r w:rsidR="0014605D">
              <w:rPr>
                <w:webHidden/>
              </w:rPr>
              <w:instrText xml:space="preserve"> PAGEREF _Toc415494782 \h </w:instrText>
            </w:r>
            <w:r w:rsidR="0014605D">
              <w:rPr>
                <w:webHidden/>
              </w:rPr>
            </w:r>
            <w:r w:rsidR="0014605D">
              <w:rPr>
                <w:webHidden/>
              </w:rPr>
              <w:fldChar w:fldCharType="separate"/>
            </w:r>
            <w:r w:rsidR="0014605D">
              <w:rPr>
                <w:webHidden/>
              </w:rPr>
              <w:t>66</w:t>
            </w:r>
            <w:r w:rsidR="0014605D">
              <w:rPr>
                <w:webHidden/>
              </w:rPr>
              <w:fldChar w:fldCharType="end"/>
            </w:r>
          </w:hyperlink>
        </w:p>
        <w:p w:rsidR="0014605D" w:rsidRDefault="001E777E">
          <w:pPr>
            <w:pStyle w:val="TOC2"/>
            <w:rPr>
              <w:rFonts w:asciiTheme="minorHAnsi" w:hAnsiTheme="minorHAnsi"/>
            </w:rPr>
          </w:pPr>
          <w:hyperlink w:anchor="_Toc415494783" w:history="1">
            <w:r w:rsidR="0014605D" w:rsidRPr="007A6BB9">
              <w:rPr>
                <w:rStyle w:val="Hyperlink"/>
              </w:rPr>
              <w:t>6.1</w:t>
            </w:r>
            <w:r w:rsidR="0014605D">
              <w:rPr>
                <w:rFonts w:asciiTheme="minorHAnsi" w:hAnsiTheme="minorHAnsi"/>
              </w:rPr>
              <w:tab/>
            </w:r>
            <w:r w:rsidR="0014605D" w:rsidRPr="007A6BB9">
              <w:rPr>
                <w:rStyle w:val="Hyperlink"/>
              </w:rPr>
              <w:t>Average Event Day Impacts</w:t>
            </w:r>
            <w:r w:rsidR="0014605D">
              <w:rPr>
                <w:webHidden/>
              </w:rPr>
              <w:tab/>
            </w:r>
            <w:r w:rsidR="0014605D">
              <w:rPr>
                <w:webHidden/>
              </w:rPr>
              <w:fldChar w:fldCharType="begin"/>
            </w:r>
            <w:r w:rsidR="0014605D">
              <w:rPr>
                <w:webHidden/>
              </w:rPr>
              <w:instrText xml:space="preserve"> PAGEREF _Toc415494783 \h </w:instrText>
            </w:r>
            <w:r w:rsidR="0014605D">
              <w:rPr>
                <w:webHidden/>
              </w:rPr>
            </w:r>
            <w:r w:rsidR="0014605D">
              <w:rPr>
                <w:webHidden/>
              </w:rPr>
              <w:fldChar w:fldCharType="separate"/>
            </w:r>
            <w:r w:rsidR="0014605D">
              <w:rPr>
                <w:webHidden/>
              </w:rPr>
              <w:t>68</w:t>
            </w:r>
            <w:r w:rsidR="0014605D">
              <w:rPr>
                <w:webHidden/>
              </w:rPr>
              <w:fldChar w:fldCharType="end"/>
            </w:r>
          </w:hyperlink>
        </w:p>
        <w:p w:rsidR="0014605D" w:rsidRDefault="001E777E">
          <w:pPr>
            <w:pStyle w:val="TOC2"/>
            <w:rPr>
              <w:rFonts w:asciiTheme="minorHAnsi" w:hAnsiTheme="minorHAnsi"/>
            </w:rPr>
          </w:pPr>
          <w:hyperlink w:anchor="_Toc415494784" w:history="1">
            <w:r w:rsidR="0014605D" w:rsidRPr="007A6BB9">
              <w:rPr>
                <w:rStyle w:val="Hyperlink"/>
              </w:rPr>
              <w:t>6.2</w:t>
            </w:r>
            <w:r w:rsidR="0014605D">
              <w:rPr>
                <w:rFonts w:asciiTheme="minorHAnsi" w:hAnsiTheme="minorHAnsi"/>
              </w:rPr>
              <w:tab/>
            </w:r>
            <w:r w:rsidR="0014605D" w:rsidRPr="007A6BB9">
              <w:rPr>
                <w:rStyle w:val="Hyperlink"/>
              </w:rPr>
              <w:t>Load Impacts by Industry</w:t>
            </w:r>
            <w:r w:rsidR="0014605D">
              <w:rPr>
                <w:webHidden/>
              </w:rPr>
              <w:tab/>
            </w:r>
            <w:r w:rsidR="0014605D">
              <w:rPr>
                <w:webHidden/>
              </w:rPr>
              <w:fldChar w:fldCharType="begin"/>
            </w:r>
            <w:r w:rsidR="0014605D">
              <w:rPr>
                <w:webHidden/>
              </w:rPr>
              <w:instrText xml:space="preserve"> PAGEREF _Toc415494784 \h </w:instrText>
            </w:r>
            <w:r w:rsidR="0014605D">
              <w:rPr>
                <w:webHidden/>
              </w:rPr>
            </w:r>
            <w:r w:rsidR="0014605D">
              <w:rPr>
                <w:webHidden/>
              </w:rPr>
              <w:fldChar w:fldCharType="separate"/>
            </w:r>
            <w:r w:rsidR="0014605D">
              <w:rPr>
                <w:webHidden/>
              </w:rPr>
              <w:t>70</w:t>
            </w:r>
            <w:r w:rsidR="0014605D">
              <w:rPr>
                <w:webHidden/>
              </w:rPr>
              <w:fldChar w:fldCharType="end"/>
            </w:r>
          </w:hyperlink>
        </w:p>
        <w:p w:rsidR="0014605D" w:rsidRDefault="001E777E">
          <w:pPr>
            <w:pStyle w:val="TOC2"/>
            <w:rPr>
              <w:rFonts w:asciiTheme="minorHAnsi" w:hAnsiTheme="minorHAnsi"/>
            </w:rPr>
          </w:pPr>
          <w:hyperlink w:anchor="_Toc415494785" w:history="1">
            <w:r w:rsidR="0014605D" w:rsidRPr="007A6BB9">
              <w:rPr>
                <w:rStyle w:val="Hyperlink"/>
              </w:rPr>
              <w:t>6.3</w:t>
            </w:r>
            <w:r w:rsidR="0014605D">
              <w:rPr>
                <w:rFonts w:asciiTheme="minorHAnsi" w:hAnsiTheme="minorHAnsi"/>
              </w:rPr>
              <w:tab/>
            </w:r>
            <w:r w:rsidR="0014605D" w:rsidRPr="007A6BB9">
              <w:rPr>
                <w:rStyle w:val="Hyperlink"/>
              </w:rPr>
              <w:t>Load Impacts by Local Capacity Area</w:t>
            </w:r>
            <w:r w:rsidR="0014605D">
              <w:rPr>
                <w:webHidden/>
              </w:rPr>
              <w:tab/>
            </w:r>
            <w:r w:rsidR="0014605D">
              <w:rPr>
                <w:webHidden/>
              </w:rPr>
              <w:fldChar w:fldCharType="begin"/>
            </w:r>
            <w:r w:rsidR="0014605D">
              <w:rPr>
                <w:webHidden/>
              </w:rPr>
              <w:instrText xml:space="preserve"> PAGEREF _Toc415494785 \h </w:instrText>
            </w:r>
            <w:r w:rsidR="0014605D">
              <w:rPr>
                <w:webHidden/>
              </w:rPr>
            </w:r>
            <w:r w:rsidR="0014605D">
              <w:rPr>
                <w:webHidden/>
              </w:rPr>
              <w:fldChar w:fldCharType="separate"/>
            </w:r>
            <w:r w:rsidR="0014605D">
              <w:rPr>
                <w:webHidden/>
              </w:rPr>
              <w:t>71</w:t>
            </w:r>
            <w:r w:rsidR="0014605D">
              <w:rPr>
                <w:webHidden/>
              </w:rPr>
              <w:fldChar w:fldCharType="end"/>
            </w:r>
          </w:hyperlink>
        </w:p>
        <w:p w:rsidR="0014605D" w:rsidRDefault="001E777E">
          <w:pPr>
            <w:pStyle w:val="TOC2"/>
            <w:rPr>
              <w:rFonts w:asciiTheme="minorHAnsi" w:hAnsiTheme="minorHAnsi"/>
            </w:rPr>
          </w:pPr>
          <w:hyperlink w:anchor="_Toc415494786" w:history="1">
            <w:r w:rsidR="0014605D" w:rsidRPr="007A6BB9">
              <w:rPr>
                <w:rStyle w:val="Hyperlink"/>
              </w:rPr>
              <w:t>6.4</w:t>
            </w:r>
            <w:r w:rsidR="0014605D">
              <w:rPr>
                <w:rFonts w:asciiTheme="minorHAnsi" w:hAnsiTheme="minorHAnsi"/>
              </w:rPr>
              <w:tab/>
            </w:r>
            <w:r w:rsidR="0014605D" w:rsidRPr="007A6BB9">
              <w:rPr>
                <w:rStyle w:val="Hyperlink"/>
              </w:rPr>
              <w:t>Load Impacts by Customer Size</w:t>
            </w:r>
            <w:r w:rsidR="0014605D">
              <w:rPr>
                <w:webHidden/>
              </w:rPr>
              <w:tab/>
            </w:r>
            <w:r w:rsidR="0014605D">
              <w:rPr>
                <w:webHidden/>
              </w:rPr>
              <w:fldChar w:fldCharType="begin"/>
            </w:r>
            <w:r w:rsidR="0014605D">
              <w:rPr>
                <w:webHidden/>
              </w:rPr>
              <w:instrText xml:space="preserve"> PAGEREF _Toc415494786 \h </w:instrText>
            </w:r>
            <w:r w:rsidR="0014605D">
              <w:rPr>
                <w:webHidden/>
              </w:rPr>
            </w:r>
            <w:r w:rsidR="0014605D">
              <w:rPr>
                <w:webHidden/>
              </w:rPr>
              <w:fldChar w:fldCharType="separate"/>
            </w:r>
            <w:r w:rsidR="0014605D">
              <w:rPr>
                <w:webHidden/>
              </w:rPr>
              <w:t>72</w:t>
            </w:r>
            <w:r w:rsidR="0014605D">
              <w:rPr>
                <w:webHidden/>
              </w:rPr>
              <w:fldChar w:fldCharType="end"/>
            </w:r>
          </w:hyperlink>
        </w:p>
        <w:p w:rsidR="0014605D" w:rsidRDefault="001E777E">
          <w:pPr>
            <w:pStyle w:val="TOC2"/>
            <w:rPr>
              <w:rFonts w:asciiTheme="minorHAnsi" w:hAnsiTheme="minorHAnsi"/>
            </w:rPr>
          </w:pPr>
          <w:hyperlink w:anchor="_Toc415494787" w:history="1">
            <w:r w:rsidR="0014605D" w:rsidRPr="007A6BB9">
              <w:rPr>
                <w:rStyle w:val="Hyperlink"/>
              </w:rPr>
              <w:t>6.5</w:t>
            </w:r>
            <w:r w:rsidR="0014605D">
              <w:rPr>
                <w:rFonts w:asciiTheme="minorHAnsi" w:hAnsiTheme="minorHAnsi"/>
              </w:rPr>
              <w:tab/>
            </w:r>
            <w:r w:rsidR="0014605D" w:rsidRPr="007A6BB9">
              <w:rPr>
                <w:rStyle w:val="Hyperlink"/>
              </w:rPr>
              <w:t>Load Impacts for Multi-DR Program Participants</w:t>
            </w:r>
            <w:r w:rsidR="0014605D">
              <w:rPr>
                <w:webHidden/>
              </w:rPr>
              <w:tab/>
            </w:r>
            <w:r w:rsidR="0014605D">
              <w:rPr>
                <w:webHidden/>
              </w:rPr>
              <w:fldChar w:fldCharType="begin"/>
            </w:r>
            <w:r w:rsidR="0014605D">
              <w:rPr>
                <w:webHidden/>
              </w:rPr>
              <w:instrText xml:space="preserve"> PAGEREF _Toc415494787 \h </w:instrText>
            </w:r>
            <w:r w:rsidR="0014605D">
              <w:rPr>
                <w:webHidden/>
              </w:rPr>
            </w:r>
            <w:r w:rsidR="0014605D">
              <w:rPr>
                <w:webHidden/>
              </w:rPr>
              <w:fldChar w:fldCharType="separate"/>
            </w:r>
            <w:r w:rsidR="0014605D">
              <w:rPr>
                <w:webHidden/>
              </w:rPr>
              <w:t>72</w:t>
            </w:r>
            <w:r w:rsidR="0014605D">
              <w:rPr>
                <w:webHidden/>
              </w:rPr>
              <w:fldChar w:fldCharType="end"/>
            </w:r>
          </w:hyperlink>
        </w:p>
        <w:p w:rsidR="0014605D" w:rsidRDefault="001E777E">
          <w:pPr>
            <w:pStyle w:val="TOC2"/>
            <w:rPr>
              <w:rFonts w:asciiTheme="minorHAnsi" w:hAnsiTheme="minorHAnsi"/>
            </w:rPr>
          </w:pPr>
          <w:hyperlink w:anchor="_Toc415494788" w:history="1">
            <w:r w:rsidR="0014605D" w:rsidRPr="007A6BB9">
              <w:rPr>
                <w:rStyle w:val="Hyperlink"/>
              </w:rPr>
              <w:t>6.6</w:t>
            </w:r>
            <w:r w:rsidR="0014605D">
              <w:rPr>
                <w:rFonts w:asciiTheme="minorHAnsi" w:hAnsiTheme="minorHAnsi"/>
              </w:rPr>
              <w:tab/>
            </w:r>
            <w:r w:rsidR="0014605D" w:rsidRPr="007A6BB9">
              <w:rPr>
                <w:rStyle w:val="Hyperlink"/>
              </w:rPr>
              <w:t>TI and AutoDR Load Impacts and Realization Rates</w:t>
            </w:r>
            <w:r w:rsidR="0014605D">
              <w:rPr>
                <w:webHidden/>
              </w:rPr>
              <w:tab/>
            </w:r>
            <w:r w:rsidR="0014605D">
              <w:rPr>
                <w:webHidden/>
              </w:rPr>
              <w:fldChar w:fldCharType="begin"/>
            </w:r>
            <w:r w:rsidR="0014605D">
              <w:rPr>
                <w:webHidden/>
              </w:rPr>
              <w:instrText xml:space="preserve"> PAGEREF _Toc415494788 \h </w:instrText>
            </w:r>
            <w:r w:rsidR="0014605D">
              <w:rPr>
                <w:webHidden/>
              </w:rPr>
            </w:r>
            <w:r w:rsidR="0014605D">
              <w:rPr>
                <w:webHidden/>
              </w:rPr>
              <w:fldChar w:fldCharType="separate"/>
            </w:r>
            <w:r w:rsidR="0014605D">
              <w:rPr>
                <w:webHidden/>
              </w:rPr>
              <w:t>73</w:t>
            </w:r>
            <w:r w:rsidR="0014605D">
              <w:rPr>
                <w:webHidden/>
              </w:rPr>
              <w:fldChar w:fldCharType="end"/>
            </w:r>
          </w:hyperlink>
        </w:p>
        <w:p w:rsidR="0014605D" w:rsidRDefault="001E777E">
          <w:pPr>
            <w:pStyle w:val="TOC1"/>
            <w:rPr>
              <w:rFonts w:asciiTheme="minorHAnsi" w:hAnsiTheme="minorHAnsi"/>
            </w:rPr>
          </w:pPr>
          <w:hyperlink w:anchor="_Toc415494789" w:history="1">
            <w:r w:rsidR="0014605D" w:rsidRPr="007A6BB9">
              <w:rPr>
                <w:rStyle w:val="Hyperlink"/>
              </w:rPr>
              <w:t>7</w:t>
            </w:r>
            <w:r w:rsidR="0014605D">
              <w:rPr>
                <w:rFonts w:asciiTheme="minorHAnsi" w:hAnsiTheme="minorHAnsi"/>
              </w:rPr>
              <w:tab/>
            </w:r>
            <w:r w:rsidR="0014605D" w:rsidRPr="007A6BB9">
              <w:rPr>
                <w:rStyle w:val="Hyperlink"/>
              </w:rPr>
              <w:t>SCE Ex Ante Load Impacts</w:t>
            </w:r>
            <w:r w:rsidR="0014605D">
              <w:rPr>
                <w:webHidden/>
              </w:rPr>
              <w:tab/>
            </w:r>
            <w:r w:rsidR="0014605D">
              <w:rPr>
                <w:webHidden/>
              </w:rPr>
              <w:fldChar w:fldCharType="begin"/>
            </w:r>
            <w:r w:rsidR="0014605D">
              <w:rPr>
                <w:webHidden/>
              </w:rPr>
              <w:instrText xml:space="preserve"> PAGEREF _Toc415494789 \h </w:instrText>
            </w:r>
            <w:r w:rsidR="0014605D">
              <w:rPr>
                <w:webHidden/>
              </w:rPr>
            </w:r>
            <w:r w:rsidR="0014605D">
              <w:rPr>
                <w:webHidden/>
              </w:rPr>
              <w:fldChar w:fldCharType="separate"/>
            </w:r>
            <w:r w:rsidR="0014605D">
              <w:rPr>
                <w:webHidden/>
              </w:rPr>
              <w:t>75</w:t>
            </w:r>
            <w:r w:rsidR="0014605D">
              <w:rPr>
                <w:webHidden/>
              </w:rPr>
              <w:fldChar w:fldCharType="end"/>
            </w:r>
          </w:hyperlink>
        </w:p>
        <w:p w:rsidR="0014605D" w:rsidRDefault="001E777E">
          <w:pPr>
            <w:pStyle w:val="TOC2"/>
            <w:rPr>
              <w:rFonts w:asciiTheme="minorHAnsi" w:hAnsiTheme="minorHAnsi"/>
            </w:rPr>
          </w:pPr>
          <w:hyperlink w:anchor="_Toc415494790" w:history="1">
            <w:r w:rsidR="0014605D" w:rsidRPr="007A6BB9">
              <w:rPr>
                <w:rStyle w:val="Hyperlink"/>
              </w:rPr>
              <w:t>7.1</w:t>
            </w:r>
            <w:r w:rsidR="0014605D">
              <w:rPr>
                <w:rFonts w:asciiTheme="minorHAnsi" w:hAnsiTheme="minorHAnsi"/>
              </w:rPr>
              <w:tab/>
            </w:r>
            <w:r w:rsidR="0014605D" w:rsidRPr="007A6BB9">
              <w:rPr>
                <w:rStyle w:val="Hyperlink"/>
              </w:rPr>
              <w:t>Large C&amp;I Ex Ante Load Impacts</w:t>
            </w:r>
            <w:r w:rsidR="0014605D">
              <w:rPr>
                <w:webHidden/>
              </w:rPr>
              <w:tab/>
            </w:r>
            <w:r w:rsidR="0014605D">
              <w:rPr>
                <w:webHidden/>
              </w:rPr>
              <w:fldChar w:fldCharType="begin"/>
            </w:r>
            <w:r w:rsidR="0014605D">
              <w:rPr>
                <w:webHidden/>
              </w:rPr>
              <w:instrText xml:space="preserve"> PAGEREF _Toc415494790 \h </w:instrText>
            </w:r>
            <w:r w:rsidR="0014605D">
              <w:rPr>
                <w:webHidden/>
              </w:rPr>
            </w:r>
            <w:r w:rsidR="0014605D">
              <w:rPr>
                <w:webHidden/>
              </w:rPr>
              <w:fldChar w:fldCharType="separate"/>
            </w:r>
            <w:r w:rsidR="0014605D">
              <w:rPr>
                <w:webHidden/>
              </w:rPr>
              <w:t>75</w:t>
            </w:r>
            <w:r w:rsidR="0014605D">
              <w:rPr>
                <w:webHidden/>
              </w:rPr>
              <w:fldChar w:fldCharType="end"/>
            </w:r>
          </w:hyperlink>
        </w:p>
        <w:p w:rsidR="0014605D" w:rsidRDefault="001E777E">
          <w:pPr>
            <w:pStyle w:val="TOC3"/>
            <w:rPr>
              <w:rFonts w:asciiTheme="minorHAnsi" w:hAnsiTheme="minorHAnsi" w:cstheme="minorBidi"/>
              <w:szCs w:val="22"/>
            </w:rPr>
          </w:pPr>
          <w:hyperlink w:anchor="_Toc415494791" w:history="1">
            <w:r w:rsidR="0014605D" w:rsidRPr="007A6BB9">
              <w:rPr>
                <w:rStyle w:val="Hyperlink"/>
                <w:rFonts w:cs="Calibri"/>
              </w:rPr>
              <w:t>7.1.1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_Toc415494791 \h </w:instrText>
            </w:r>
            <w:r w:rsidR="0014605D">
              <w:rPr>
                <w:webHidden/>
              </w:rPr>
            </w:r>
            <w:r w:rsidR="0014605D">
              <w:rPr>
                <w:webHidden/>
              </w:rPr>
              <w:fldChar w:fldCharType="separate"/>
            </w:r>
            <w:r w:rsidR="0014605D">
              <w:rPr>
                <w:webHidden/>
              </w:rPr>
              <w:t>81</w:t>
            </w:r>
            <w:r w:rsidR="0014605D">
              <w:rPr>
                <w:webHidden/>
              </w:rPr>
              <w:fldChar w:fldCharType="end"/>
            </w:r>
          </w:hyperlink>
        </w:p>
        <w:p w:rsidR="0014605D" w:rsidRDefault="001E777E">
          <w:pPr>
            <w:pStyle w:val="TOC3"/>
            <w:rPr>
              <w:rFonts w:asciiTheme="minorHAnsi" w:hAnsiTheme="minorHAnsi" w:cstheme="minorBidi"/>
              <w:szCs w:val="22"/>
            </w:rPr>
          </w:pPr>
          <w:hyperlink w:anchor="_Toc415494792" w:history="1">
            <w:r w:rsidR="0014605D" w:rsidRPr="007A6BB9">
              <w:rPr>
                <w:rStyle w:val="Hyperlink"/>
              </w:rPr>
              <w:t>7.1.2</w:t>
            </w:r>
            <w:r w:rsidR="0014605D">
              <w:rPr>
                <w:rFonts w:asciiTheme="minorHAnsi" w:hAnsiTheme="minorHAnsi" w:cstheme="minorBidi"/>
                <w:szCs w:val="22"/>
              </w:rPr>
              <w:tab/>
            </w:r>
            <w:r w:rsidR="0014605D" w:rsidRPr="007A6BB9">
              <w:rPr>
                <w:rStyle w:val="Hyperlink"/>
              </w:rPr>
              <w:t>Ex Ante Load Impact Uncertainty</w:t>
            </w:r>
            <w:r w:rsidR="0014605D">
              <w:rPr>
                <w:webHidden/>
              </w:rPr>
              <w:tab/>
            </w:r>
            <w:r w:rsidR="0014605D">
              <w:rPr>
                <w:webHidden/>
              </w:rPr>
              <w:fldChar w:fldCharType="begin"/>
            </w:r>
            <w:r w:rsidR="0014605D">
              <w:rPr>
                <w:webHidden/>
              </w:rPr>
              <w:instrText xml:space="preserve"> PAGEREF _Toc415494792 \h </w:instrText>
            </w:r>
            <w:r w:rsidR="0014605D">
              <w:rPr>
                <w:webHidden/>
              </w:rPr>
            </w:r>
            <w:r w:rsidR="0014605D">
              <w:rPr>
                <w:webHidden/>
              </w:rPr>
              <w:fldChar w:fldCharType="separate"/>
            </w:r>
            <w:r w:rsidR="0014605D">
              <w:rPr>
                <w:webHidden/>
              </w:rPr>
              <w:t>82</w:t>
            </w:r>
            <w:r w:rsidR="0014605D">
              <w:rPr>
                <w:webHidden/>
              </w:rPr>
              <w:fldChar w:fldCharType="end"/>
            </w:r>
          </w:hyperlink>
        </w:p>
        <w:p w:rsidR="0014605D" w:rsidRDefault="001E777E">
          <w:pPr>
            <w:pStyle w:val="TOC3"/>
            <w:rPr>
              <w:rFonts w:asciiTheme="minorHAnsi" w:hAnsiTheme="minorHAnsi" w:cstheme="minorBidi"/>
              <w:szCs w:val="22"/>
            </w:rPr>
          </w:pPr>
          <w:hyperlink w:anchor="_Toc415494793" w:history="1">
            <w:r w:rsidR="0014605D" w:rsidRPr="007A6BB9">
              <w:rPr>
                <w:rStyle w:val="Hyperlink"/>
                <w:rFonts w:cs="Calibri"/>
              </w:rPr>
              <w:t>7.1.3</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_Toc415494793 \h </w:instrText>
            </w:r>
            <w:r w:rsidR="0014605D">
              <w:rPr>
                <w:webHidden/>
              </w:rPr>
            </w:r>
            <w:r w:rsidR="0014605D">
              <w:rPr>
                <w:webHidden/>
              </w:rPr>
              <w:fldChar w:fldCharType="separate"/>
            </w:r>
            <w:r w:rsidR="0014605D">
              <w:rPr>
                <w:webHidden/>
              </w:rPr>
              <w:t>83</w:t>
            </w:r>
            <w:r w:rsidR="0014605D">
              <w:rPr>
                <w:webHidden/>
              </w:rPr>
              <w:fldChar w:fldCharType="end"/>
            </w:r>
          </w:hyperlink>
        </w:p>
        <w:p w:rsidR="0014605D" w:rsidRDefault="001E777E">
          <w:pPr>
            <w:pStyle w:val="TOC3"/>
            <w:rPr>
              <w:rFonts w:asciiTheme="minorHAnsi" w:hAnsiTheme="minorHAnsi" w:cstheme="minorBidi"/>
              <w:szCs w:val="22"/>
            </w:rPr>
          </w:pPr>
          <w:hyperlink w:anchor="_Toc415494794" w:history="1">
            <w:r w:rsidR="0014605D" w:rsidRPr="007A6BB9">
              <w:rPr>
                <w:rStyle w:val="Hyperlink"/>
              </w:rPr>
              <w:t>7.1.4</w:t>
            </w:r>
            <w:r w:rsidR="0014605D">
              <w:rPr>
                <w:rFonts w:asciiTheme="minorHAnsi" w:hAnsiTheme="minorHAnsi" w:cstheme="minorBidi"/>
                <w:szCs w:val="22"/>
              </w:rPr>
              <w:tab/>
            </w:r>
            <w:r w:rsidR="0014605D" w:rsidRPr="007A6BB9">
              <w:rPr>
                <w:rStyle w:val="Hyperlink"/>
              </w:rPr>
              <w:t>Comparison of 2013 and 2014 Ex Ante Estimates</w:t>
            </w:r>
            <w:r w:rsidR="0014605D">
              <w:rPr>
                <w:webHidden/>
              </w:rPr>
              <w:tab/>
            </w:r>
            <w:r w:rsidR="0014605D">
              <w:rPr>
                <w:webHidden/>
              </w:rPr>
              <w:fldChar w:fldCharType="begin"/>
            </w:r>
            <w:r w:rsidR="0014605D">
              <w:rPr>
                <w:webHidden/>
              </w:rPr>
              <w:instrText xml:space="preserve"> PAGEREF _Toc415494794 \h </w:instrText>
            </w:r>
            <w:r w:rsidR="0014605D">
              <w:rPr>
                <w:webHidden/>
              </w:rPr>
            </w:r>
            <w:r w:rsidR="0014605D">
              <w:rPr>
                <w:webHidden/>
              </w:rPr>
              <w:fldChar w:fldCharType="separate"/>
            </w:r>
            <w:r w:rsidR="0014605D">
              <w:rPr>
                <w:webHidden/>
              </w:rPr>
              <w:t>84</w:t>
            </w:r>
            <w:r w:rsidR="0014605D">
              <w:rPr>
                <w:webHidden/>
              </w:rPr>
              <w:fldChar w:fldCharType="end"/>
            </w:r>
          </w:hyperlink>
        </w:p>
        <w:p w:rsidR="0014605D" w:rsidRDefault="001E777E">
          <w:pPr>
            <w:pStyle w:val="TOC3"/>
            <w:rPr>
              <w:rFonts w:asciiTheme="minorHAnsi" w:hAnsiTheme="minorHAnsi" w:cstheme="minorBidi"/>
              <w:szCs w:val="22"/>
            </w:rPr>
          </w:pPr>
          <w:hyperlink w:anchor="_Toc415494795" w:history="1">
            <w:r w:rsidR="0014605D" w:rsidRPr="007A6BB9">
              <w:rPr>
                <w:rStyle w:val="Hyperlink"/>
              </w:rPr>
              <w:t>7.1.5</w:t>
            </w:r>
            <w:r w:rsidR="0014605D">
              <w:rPr>
                <w:rFonts w:asciiTheme="minorHAnsi" w:hAnsiTheme="minorHAnsi" w:cstheme="minorBidi"/>
                <w:szCs w:val="22"/>
              </w:rPr>
              <w:tab/>
            </w:r>
            <w:r w:rsidR="0014605D" w:rsidRPr="007A6BB9">
              <w:rPr>
                <w:rStyle w:val="Hyperlink"/>
              </w:rPr>
              <w:t>Relationship between Ex Post and Ex Ante Estimates</w:t>
            </w:r>
            <w:r w:rsidR="0014605D">
              <w:rPr>
                <w:webHidden/>
              </w:rPr>
              <w:tab/>
            </w:r>
            <w:r w:rsidR="0014605D">
              <w:rPr>
                <w:webHidden/>
              </w:rPr>
              <w:fldChar w:fldCharType="begin"/>
            </w:r>
            <w:r w:rsidR="0014605D">
              <w:rPr>
                <w:webHidden/>
              </w:rPr>
              <w:instrText xml:space="preserve"> PAGEREF _Toc415494795 \h </w:instrText>
            </w:r>
            <w:r w:rsidR="0014605D">
              <w:rPr>
                <w:webHidden/>
              </w:rPr>
            </w:r>
            <w:r w:rsidR="0014605D">
              <w:rPr>
                <w:webHidden/>
              </w:rPr>
              <w:fldChar w:fldCharType="separate"/>
            </w:r>
            <w:r w:rsidR="0014605D">
              <w:rPr>
                <w:webHidden/>
              </w:rPr>
              <w:t>85</w:t>
            </w:r>
            <w:r w:rsidR="0014605D">
              <w:rPr>
                <w:webHidden/>
              </w:rPr>
              <w:fldChar w:fldCharType="end"/>
            </w:r>
          </w:hyperlink>
        </w:p>
        <w:p w:rsidR="0014605D" w:rsidRDefault="001E777E">
          <w:pPr>
            <w:pStyle w:val="TOC2"/>
            <w:rPr>
              <w:rFonts w:asciiTheme="minorHAnsi" w:hAnsiTheme="minorHAnsi"/>
            </w:rPr>
          </w:pPr>
          <w:hyperlink w:anchor="_Toc415494796" w:history="1">
            <w:r w:rsidR="0014605D" w:rsidRPr="007A6BB9">
              <w:rPr>
                <w:rStyle w:val="Hyperlink"/>
              </w:rPr>
              <w:t>7.2</w:t>
            </w:r>
            <w:r w:rsidR="0014605D">
              <w:rPr>
                <w:rFonts w:asciiTheme="minorHAnsi" w:hAnsiTheme="minorHAnsi"/>
              </w:rPr>
              <w:tab/>
            </w:r>
            <w:r w:rsidR="0014605D" w:rsidRPr="007A6BB9">
              <w:rPr>
                <w:rStyle w:val="Hyperlink"/>
              </w:rPr>
              <w:t>Medium C&amp;I Ex Ante Impacts</w:t>
            </w:r>
            <w:r w:rsidR="0014605D">
              <w:rPr>
                <w:webHidden/>
              </w:rPr>
              <w:tab/>
            </w:r>
            <w:r w:rsidR="0014605D">
              <w:rPr>
                <w:webHidden/>
              </w:rPr>
              <w:fldChar w:fldCharType="begin"/>
            </w:r>
            <w:r w:rsidR="0014605D">
              <w:rPr>
                <w:webHidden/>
              </w:rPr>
              <w:instrText xml:space="preserve"> PAGEREF _Toc415494796 \h </w:instrText>
            </w:r>
            <w:r w:rsidR="0014605D">
              <w:rPr>
                <w:webHidden/>
              </w:rPr>
            </w:r>
            <w:r w:rsidR="0014605D">
              <w:rPr>
                <w:webHidden/>
              </w:rPr>
              <w:fldChar w:fldCharType="separate"/>
            </w:r>
            <w:r w:rsidR="0014605D">
              <w:rPr>
                <w:webHidden/>
              </w:rPr>
              <w:t>89</w:t>
            </w:r>
            <w:r w:rsidR="0014605D">
              <w:rPr>
                <w:webHidden/>
              </w:rPr>
              <w:fldChar w:fldCharType="end"/>
            </w:r>
          </w:hyperlink>
        </w:p>
        <w:p w:rsidR="0014605D" w:rsidRDefault="001E777E">
          <w:pPr>
            <w:pStyle w:val="TOC3"/>
            <w:rPr>
              <w:rFonts w:asciiTheme="minorHAnsi" w:hAnsiTheme="minorHAnsi" w:cstheme="minorBidi"/>
              <w:szCs w:val="22"/>
            </w:rPr>
          </w:pPr>
          <w:hyperlink w:anchor="_Toc415494797" w:history="1">
            <w:r w:rsidR="0014605D" w:rsidRPr="007A6BB9">
              <w:rPr>
                <w:rStyle w:val="Hyperlink"/>
                <w:rFonts w:cs="Calibri"/>
              </w:rPr>
              <w:t>7.2.1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_Toc415494797 \h </w:instrText>
            </w:r>
            <w:r w:rsidR="0014605D">
              <w:rPr>
                <w:webHidden/>
              </w:rPr>
            </w:r>
            <w:r w:rsidR="0014605D">
              <w:rPr>
                <w:webHidden/>
              </w:rPr>
              <w:fldChar w:fldCharType="separate"/>
            </w:r>
            <w:r w:rsidR="0014605D">
              <w:rPr>
                <w:webHidden/>
              </w:rPr>
              <w:t>89</w:t>
            </w:r>
            <w:r w:rsidR="0014605D">
              <w:rPr>
                <w:webHidden/>
              </w:rPr>
              <w:fldChar w:fldCharType="end"/>
            </w:r>
          </w:hyperlink>
        </w:p>
        <w:p w:rsidR="0014605D" w:rsidRDefault="001E777E">
          <w:pPr>
            <w:pStyle w:val="TOC3"/>
            <w:rPr>
              <w:rFonts w:asciiTheme="minorHAnsi" w:hAnsiTheme="minorHAnsi" w:cstheme="minorBidi"/>
              <w:szCs w:val="22"/>
            </w:rPr>
          </w:pPr>
          <w:hyperlink w:anchor="_Toc415494798" w:history="1">
            <w:r w:rsidR="0014605D" w:rsidRPr="007A6BB9">
              <w:rPr>
                <w:rStyle w:val="Hyperlink"/>
              </w:rPr>
              <w:t>7.2.2</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_Toc415494798 \h </w:instrText>
            </w:r>
            <w:r w:rsidR="0014605D">
              <w:rPr>
                <w:webHidden/>
              </w:rPr>
            </w:r>
            <w:r w:rsidR="0014605D">
              <w:rPr>
                <w:webHidden/>
              </w:rPr>
              <w:fldChar w:fldCharType="separate"/>
            </w:r>
            <w:r w:rsidR="0014605D">
              <w:rPr>
                <w:webHidden/>
              </w:rPr>
              <w:t>90</w:t>
            </w:r>
            <w:r w:rsidR="0014605D">
              <w:rPr>
                <w:webHidden/>
              </w:rPr>
              <w:fldChar w:fldCharType="end"/>
            </w:r>
          </w:hyperlink>
        </w:p>
        <w:p w:rsidR="0014605D" w:rsidRDefault="001E777E">
          <w:pPr>
            <w:pStyle w:val="TOC2"/>
            <w:rPr>
              <w:rFonts w:asciiTheme="minorHAnsi" w:hAnsiTheme="minorHAnsi"/>
            </w:rPr>
          </w:pPr>
          <w:hyperlink w:anchor="_Toc415494799" w:history="1">
            <w:r w:rsidR="0014605D" w:rsidRPr="007A6BB9">
              <w:rPr>
                <w:rStyle w:val="Hyperlink"/>
              </w:rPr>
              <w:t>7.3</w:t>
            </w:r>
            <w:r w:rsidR="0014605D">
              <w:rPr>
                <w:rFonts w:asciiTheme="minorHAnsi" w:hAnsiTheme="minorHAnsi"/>
              </w:rPr>
              <w:tab/>
            </w:r>
            <w:r w:rsidR="0014605D" w:rsidRPr="007A6BB9">
              <w:rPr>
                <w:rStyle w:val="Hyperlink"/>
              </w:rPr>
              <w:t>Small C&amp;I Ex Ante Impacts</w:t>
            </w:r>
            <w:r w:rsidR="0014605D">
              <w:rPr>
                <w:webHidden/>
              </w:rPr>
              <w:tab/>
            </w:r>
            <w:r w:rsidR="0014605D">
              <w:rPr>
                <w:webHidden/>
              </w:rPr>
              <w:fldChar w:fldCharType="begin"/>
            </w:r>
            <w:r w:rsidR="0014605D">
              <w:rPr>
                <w:webHidden/>
              </w:rPr>
              <w:instrText xml:space="preserve"> PAGEREF _Toc415494799 \h </w:instrText>
            </w:r>
            <w:r w:rsidR="0014605D">
              <w:rPr>
                <w:webHidden/>
              </w:rPr>
            </w:r>
            <w:r w:rsidR="0014605D">
              <w:rPr>
                <w:webHidden/>
              </w:rPr>
              <w:fldChar w:fldCharType="separate"/>
            </w:r>
            <w:r w:rsidR="0014605D">
              <w:rPr>
                <w:webHidden/>
              </w:rPr>
              <w:t>91</w:t>
            </w:r>
            <w:r w:rsidR="0014605D">
              <w:rPr>
                <w:webHidden/>
              </w:rPr>
              <w:fldChar w:fldCharType="end"/>
            </w:r>
          </w:hyperlink>
        </w:p>
        <w:p w:rsidR="0014605D" w:rsidRDefault="001E777E">
          <w:pPr>
            <w:pStyle w:val="TOC3"/>
            <w:rPr>
              <w:rFonts w:asciiTheme="minorHAnsi" w:hAnsiTheme="minorHAnsi" w:cstheme="minorBidi"/>
              <w:szCs w:val="22"/>
            </w:rPr>
          </w:pPr>
          <w:hyperlink w:anchor="_Toc415494800" w:history="1">
            <w:r w:rsidR="0014605D" w:rsidRPr="007A6BB9">
              <w:rPr>
                <w:rStyle w:val="Hyperlink"/>
                <w:rFonts w:cs="Calibri"/>
              </w:rPr>
              <w:t>7.3.1</w:t>
            </w:r>
            <w:r w:rsidR="0014605D">
              <w:rPr>
                <w:rFonts w:asciiTheme="minorHAnsi" w:hAnsiTheme="minorHAnsi" w:cstheme="minorBidi"/>
                <w:szCs w:val="22"/>
              </w:rPr>
              <w:tab/>
            </w:r>
            <w:r w:rsidR="0014605D" w:rsidRPr="007A6BB9">
              <w:rPr>
                <w:rStyle w:val="Hyperlink"/>
              </w:rPr>
              <w:t>Annual System Peak Day Impacts</w:t>
            </w:r>
            <w:r w:rsidR="0014605D">
              <w:rPr>
                <w:webHidden/>
              </w:rPr>
              <w:tab/>
            </w:r>
            <w:r w:rsidR="0014605D">
              <w:rPr>
                <w:webHidden/>
              </w:rPr>
              <w:fldChar w:fldCharType="begin"/>
            </w:r>
            <w:r w:rsidR="0014605D">
              <w:rPr>
                <w:webHidden/>
              </w:rPr>
              <w:instrText xml:space="preserve"> PAGEREF _Toc415494800 \h </w:instrText>
            </w:r>
            <w:r w:rsidR="0014605D">
              <w:rPr>
                <w:webHidden/>
              </w:rPr>
            </w:r>
            <w:r w:rsidR="0014605D">
              <w:rPr>
                <w:webHidden/>
              </w:rPr>
              <w:fldChar w:fldCharType="separate"/>
            </w:r>
            <w:r w:rsidR="0014605D">
              <w:rPr>
                <w:webHidden/>
              </w:rPr>
              <w:t>92</w:t>
            </w:r>
            <w:r w:rsidR="0014605D">
              <w:rPr>
                <w:webHidden/>
              </w:rPr>
              <w:fldChar w:fldCharType="end"/>
            </w:r>
          </w:hyperlink>
        </w:p>
        <w:p w:rsidR="0014605D" w:rsidRDefault="001E777E">
          <w:pPr>
            <w:pStyle w:val="TOC3"/>
            <w:rPr>
              <w:rFonts w:asciiTheme="minorHAnsi" w:hAnsiTheme="minorHAnsi" w:cstheme="minorBidi"/>
              <w:szCs w:val="22"/>
            </w:rPr>
          </w:pPr>
          <w:hyperlink w:anchor="_Toc415494801" w:history="1">
            <w:r w:rsidR="0014605D" w:rsidRPr="007A6BB9">
              <w:rPr>
                <w:rStyle w:val="Hyperlink"/>
              </w:rPr>
              <w:t>7.3.2</w:t>
            </w:r>
            <w:r w:rsidR="0014605D">
              <w:rPr>
                <w:rFonts w:asciiTheme="minorHAnsi" w:hAnsiTheme="minorHAnsi" w:cstheme="minorBidi"/>
                <w:szCs w:val="22"/>
              </w:rPr>
              <w:tab/>
            </w:r>
            <w:r w:rsidR="0014605D" w:rsidRPr="007A6BB9">
              <w:rPr>
                <w:rStyle w:val="Hyperlink"/>
              </w:rPr>
              <w:t>Ex Ante Impacts by Geographic Location and Month</w:t>
            </w:r>
            <w:r w:rsidR="0014605D">
              <w:rPr>
                <w:webHidden/>
              </w:rPr>
              <w:tab/>
            </w:r>
            <w:r w:rsidR="0014605D">
              <w:rPr>
                <w:webHidden/>
              </w:rPr>
              <w:fldChar w:fldCharType="begin"/>
            </w:r>
            <w:r w:rsidR="0014605D">
              <w:rPr>
                <w:webHidden/>
              </w:rPr>
              <w:instrText xml:space="preserve"> PAGEREF _Toc415494801 \h </w:instrText>
            </w:r>
            <w:r w:rsidR="0014605D">
              <w:rPr>
                <w:webHidden/>
              </w:rPr>
            </w:r>
            <w:r w:rsidR="0014605D">
              <w:rPr>
                <w:webHidden/>
              </w:rPr>
              <w:fldChar w:fldCharType="separate"/>
            </w:r>
            <w:r w:rsidR="0014605D">
              <w:rPr>
                <w:webHidden/>
              </w:rPr>
              <w:t>93</w:t>
            </w:r>
            <w:r w:rsidR="0014605D">
              <w:rPr>
                <w:webHidden/>
              </w:rPr>
              <w:fldChar w:fldCharType="end"/>
            </w:r>
          </w:hyperlink>
        </w:p>
        <w:p w:rsidR="0014605D" w:rsidRDefault="001E777E">
          <w:pPr>
            <w:pStyle w:val="TOC1"/>
            <w:rPr>
              <w:rFonts w:asciiTheme="minorHAnsi" w:hAnsiTheme="minorHAnsi"/>
            </w:rPr>
          </w:pPr>
          <w:hyperlink w:anchor="_Toc415494802" w:history="1">
            <w:r w:rsidR="0014605D" w:rsidRPr="007A6BB9">
              <w:rPr>
                <w:rStyle w:val="Hyperlink"/>
              </w:rPr>
              <w:t>8</w:t>
            </w:r>
            <w:r w:rsidR="0014605D">
              <w:rPr>
                <w:rFonts w:asciiTheme="minorHAnsi" w:hAnsiTheme="minorHAnsi"/>
              </w:rPr>
              <w:tab/>
            </w:r>
            <w:r w:rsidR="0014605D" w:rsidRPr="007A6BB9">
              <w:rPr>
                <w:rStyle w:val="Hyperlink"/>
              </w:rPr>
              <w:t>SDG&amp;E Ex Post Load Impacts</w:t>
            </w:r>
            <w:r w:rsidR="0014605D">
              <w:rPr>
                <w:webHidden/>
              </w:rPr>
              <w:tab/>
            </w:r>
            <w:r w:rsidR="0014605D">
              <w:rPr>
                <w:webHidden/>
              </w:rPr>
              <w:fldChar w:fldCharType="begin"/>
            </w:r>
            <w:r w:rsidR="0014605D">
              <w:rPr>
                <w:webHidden/>
              </w:rPr>
              <w:instrText xml:space="preserve"> PAGEREF _Toc415494802 \h </w:instrText>
            </w:r>
            <w:r w:rsidR="0014605D">
              <w:rPr>
                <w:webHidden/>
              </w:rPr>
            </w:r>
            <w:r w:rsidR="0014605D">
              <w:rPr>
                <w:webHidden/>
              </w:rPr>
              <w:fldChar w:fldCharType="separate"/>
            </w:r>
            <w:r w:rsidR="0014605D">
              <w:rPr>
                <w:webHidden/>
              </w:rPr>
              <w:t>95</w:t>
            </w:r>
            <w:r w:rsidR="0014605D">
              <w:rPr>
                <w:webHidden/>
              </w:rPr>
              <w:fldChar w:fldCharType="end"/>
            </w:r>
          </w:hyperlink>
        </w:p>
        <w:p w:rsidR="0014605D" w:rsidRDefault="001E777E">
          <w:pPr>
            <w:pStyle w:val="TOC2"/>
            <w:rPr>
              <w:rFonts w:asciiTheme="minorHAnsi" w:hAnsiTheme="minorHAnsi"/>
            </w:rPr>
          </w:pPr>
          <w:hyperlink w:anchor="_Toc415494803" w:history="1">
            <w:r w:rsidR="0014605D" w:rsidRPr="007A6BB9">
              <w:rPr>
                <w:rStyle w:val="Hyperlink"/>
              </w:rPr>
              <w:t>8.1</w:t>
            </w:r>
            <w:r w:rsidR="0014605D">
              <w:rPr>
                <w:rFonts w:asciiTheme="minorHAnsi" w:hAnsiTheme="minorHAnsi"/>
              </w:rPr>
              <w:tab/>
            </w:r>
            <w:r w:rsidR="0014605D" w:rsidRPr="007A6BB9">
              <w:rPr>
                <w:rStyle w:val="Hyperlink"/>
              </w:rPr>
              <w:t>Average Event Day Impacts</w:t>
            </w:r>
            <w:r w:rsidR="0014605D">
              <w:rPr>
                <w:webHidden/>
              </w:rPr>
              <w:tab/>
            </w:r>
            <w:r w:rsidR="0014605D">
              <w:rPr>
                <w:webHidden/>
              </w:rPr>
              <w:fldChar w:fldCharType="begin"/>
            </w:r>
            <w:r w:rsidR="0014605D">
              <w:rPr>
                <w:webHidden/>
              </w:rPr>
              <w:instrText xml:space="preserve"> PAGEREF _Toc415494803 \h </w:instrText>
            </w:r>
            <w:r w:rsidR="0014605D">
              <w:rPr>
                <w:webHidden/>
              </w:rPr>
            </w:r>
            <w:r w:rsidR="0014605D">
              <w:rPr>
                <w:webHidden/>
              </w:rPr>
              <w:fldChar w:fldCharType="separate"/>
            </w:r>
            <w:r w:rsidR="0014605D">
              <w:rPr>
                <w:webHidden/>
              </w:rPr>
              <w:t>96</w:t>
            </w:r>
            <w:r w:rsidR="0014605D">
              <w:rPr>
                <w:webHidden/>
              </w:rPr>
              <w:fldChar w:fldCharType="end"/>
            </w:r>
          </w:hyperlink>
        </w:p>
        <w:p w:rsidR="0014605D" w:rsidRDefault="001E777E">
          <w:pPr>
            <w:pStyle w:val="TOC2"/>
            <w:rPr>
              <w:rFonts w:asciiTheme="minorHAnsi" w:hAnsiTheme="minorHAnsi"/>
            </w:rPr>
          </w:pPr>
          <w:hyperlink w:anchor="_Toc415494804" w:history="1">
            <w:r w:rsidR="0014605D" w:rsidRPr="007A6BB9">
              <w:rPr>
                <w:rStyle w:val="Hyperlink"/>
              </w:rPr>
              <w:t>8.2</w:t>
            </w:r>
            <w:r w:rsidR="0014605D">
              <w:rPr>
                <w:rFonts w:asciiTheme="minorHAnsi" w:hAnsiTheme="minorHAnsi"/>
              </w:rPr>
              <w:tab/>
            </w:r>
            <w:r w:rsidR="0014605D" w:rsidRPr="007A6BB9">
              <w:rPr>
                <w:rStyle w:val="Hyperlink"/>
              </w:rPr>
              <w:t>Load Impacts by Industry</w:t>
            </w:r>
            <w:r w:rsidR="0014605D">
              <w:rPr>
                <w:webHidden/>
              </w:rPr>
              <w:tab/>
            </w:r>
            <w:r w:rsidR="0014605D">
              <w:rPr>
                <w:webHidden/>
              </w:rPr>
              <w:fldChar w:fldCharType="begin"/>
            </w:r>
            <w:r w:rsidR="0014605D">
              <w:rPr>
                <w:webHidden/>
              </w:rPr>
              <w:instrText xml:space="preserve"> PAGEREF _Toc415494804 \h </w:instrText>
            </w:r>
            <w:r w:rsidR="0014605D">
              <w:rPr>
                <w:webHidden/>
              </w:rPr>
            </w:r>
            <w:r w:rsidR="0014605D">
              <w:rPr>
                <w:webHidden/>
              </w:rPr>
              <w:fldChar w:fldCharType="separate"/>
            </w:r>
            <w:r w:rsidR="0014605D">
              <w:rPr>
                <w:webHidden/>
              </w:rPr>
              <w:t>98</w:t>
            </w:r>
            <w:r w:rsidR="0014605D">
              <w:rPr>
                <w:webHidden/>
              </w:rPr>
              <w:fldChar w:fldCharType="end"/>
            </w:r>
          </w:hyperlink>
        </w:p>
        <w:p w:rsidR="0014605D" w:rsidRDefault="001E777E">
          <w:pPr>
            <w:pStyle w:val="TOC2"/>
            <w:rPr>
              <w:rFonts w:asciiTheme="minorHAnsi" w:hAnsiTheme="minorHAnsi"/>
            </w:rPr>
          </w:pPr>
          <w:hyperlink w:anchor="_Toc415494805" w:history="1">
            <w:r w:rsidR="0014605D" w:rsidRPr="007A6BB9">
              <w:rPr>
                <w:rStyle w:val="Hyperlink"/>
              </w:rPr>
              <w:t>8.3</w:t>
            </w:r>
            <w:r w:rsidR="0014605D">
              <w:rPr>
                <w:rFonts w:asciiTheme="minorHAnsi" w:hAnsiTheme="minorHAnsi"/>
              </w:rPr>
              <w:tab/>
            </w:r>
            <w:r w:rsidR="0014605D" w:rsidRPr="007A6BB9">
              <w:rPr>
                <w:rStyle w:val="Hyperlink"/>
              </w:rPr>
              <w:t>Load Impacts by Customer Size</w:t>
            </w:r>
            <w:r w:rsidR="0014605D">
              <w:rPr>
                <w:webHidden/>
              </w:rPr>
              <w:tab/>
            </w:r>
            <w:r w:rsidR="0014605D">
              <w:rPr>
                <w:webHidden/>
              </w:rPr>
              <w:fldChar w:fldCharType="begin"/>
            </w:r>
            <w:r w:rsidR="0014605D">
              <w:rPr>
                <w:webHidden/>
              </w:rPr>
              <w:instrText xml:space="preserve"> PAGEREF _Toc415494805 \h </w:instrText>
            </w:r>
            <w:r w:rsidR="0014605D">
              <w:rPr>
                <w:webHidden/>
              </w:rPr>
            </w:r>
            <w:r w:rsidR="0014605D">
              <w:rPr>
                <w:webHidden/>
              </w:rPr>
              <w:fldChar w:fldCharType="separate"/>
            </w:r>
            <w:r w:rsidR="0014605D">
              <w:rPr>
                <w:webHidden/>
              </w:rPr>
              <w:t>100</w:t>
            </w:r>
            <w:r w:rsidR="0014605D">
              <w:rPr>
                <w:webHidden/>
              </w:rPr>
              <w:fldChar w:fldCharType="end"/>
            </w:r>
          </w:hyperlink>
        </w:p>
        <w:p w:rsidR="0014605D" w:rsidRDefault="001E777E">
          <w:pPr>
            <w:pStyle w:val="TOC2"/>
            <w:rPr>
              <w:rFonts w:asciiTheme="minorHAnsi" w:hAnsiTheme="minorHAnsi"/>
            </w:rPr>
          </w:pPr>
          <w:hyperlink w:anchor="_Toc415494806" w:history="1">
            <w:r w:rsidR="0014605D" w:rsidRPr="007A6BB9">
              <w:rPr>
                <w:rStyle w:val="Hyperlink"/>
              </w:rPr>
              <w:t>8.4</w:t>
            </w:r>
            <w:r w:rsidR="0014605D">
              <w:rPr>
                <w:rFonts w:asciiTheme="minorHAnsi" w:hAnsiTheme="minorHAnsi"/>
              </w:rPr>
              <w:tab/>
            </w:r>
            <w:r w:rsidR="0014605D" w:rsidRPr="007A6BB9">
              <w:rPr>
                <w:rStyle w:val="Hyperlink"/>
              </w:rPr>
              <w:t>Load Impacts for Multi-DR Program Participants</w:t>
            </w:r>
            <w:r w:rsidR="0014605D">
              <w:rPr>
                <w:webHidden/>
              </w:rPr>
              <w:tab/>
            </w:r>
            <w:r w:rsidR="0014605D">
              <w:rPr>
                <w:webHidden/>
              </w:rPr>
              <w:fldChar w:fldCharType="begin"/>
            </w:r>
            <w:r w:rsidR="0014605D">
              <w:rPr>
                <w:webHidden/>
              </w:rPr>
              <w:instrText xml:space="preserve"> PAGEREF _Toc415494806 \h </w:instrText>
            </w:r>
            <w:r w:rsidR="0014605D">
              <w:rPr>
                <w:webHidden/>
              </w:rPr>
            </w:r>
            <w:r w:rsidR="0014605D">
              <w:rPr>
                <w:webHidden/>
              </w:rPr>
              <w:fldChar w:fldCharType="separate"/>
            </w:r>
            <w:r w:rsidR="0014605D">
              <w:rPr>
                <w:webHidden/>
              </w:rPr>
              <w:t>101</w:t>
            </w:r>
            <w:r w:rsidR="0014605D">
              <w:rPr>
                <w:webHidden/>
              </w:rPr>
              <w:fldChar w:fldCharType="end"/>
            </w:r>
          </w:hyperlink>
        </w:p>
        <w:p w:rsidR="0014605D" w:rsidRDefault="001E777E">
          <w:pPr>
            <w:pStyle w:val="TOC2"/>
            <w:rPr>
              <w:rFonts w:asciiTheme="minorHAnsi" w:hAnsiTheme="minorHAnsi"/>
            </w:rPr>
          </w:pPr>
          <w:hyperlink w:anchor="_Toc415494807" w:history="1">
            <w:r w:rsidR="0014605D" w:rsidRPr="007A6BB9">
              <w:rPr>
                <w:rStyle w:val="Hyperlink"/>
              </w:rPr>
              <w:t>8.5</w:t>
            </w:r>
            <w:r w:rsidR="0014605D">
              <w:rPr>
                <w:rFonts w:asciiTheme="minorHAnsi" w:hAnsiTheme="minorHAnsi"/>
              </w:rPr>
              <w:tab/>
            </w:r>
            <w:r w:rsidR="0014605D" w:rsidRPr="007A6BB9">
              <w:rPr>
                <w:rStyle w:val="Hyperlink"/>
              </w:rPr>
              <w:t>TI and AutoDR Load Impacts and Realization Rates</w:t>
            </w:r>
            <w:r w:rsidR="0014605D">
              <w:rPr>
                <w:webHidden/>
              </w:rPr>
              <w:tab/>
            </w:r>
            <w:r w:rsidR="0014605D">
              <w:rPr>
                <w:webHidden/>
              </w:rPr>
              <w:fldChar w:fldCharType="begin"/>
            </w:r>
            <w:r w:rsidR="0014605D">
              <w:rPr>
                <w:webHidden/>
              </w:rPr>
              <w:instrText xml:space="preserve"> PAGEREF _Toc415494807 \h </w:instrText>
            </w:r>
            <w:r w:rsidR="0014605D">
              <w:rPr>
                <w:webHidden/>
              </w:rPr>
            </w:r>
            <w:r w:rsidR="0014605D">
              <w:rPr>
                <w:webHidden/>
              </w:rPr>
              <w:fldChar w:fldCharType="separate"/>
            </w:r>
            <w:r w:rsidR="0014605D">
              <w:rPr>
                <w:webHidden/>
              </w:rPr>
              <w:t>102</w:t>
            </w:r>
            <w:r w:rsidR="0014605D">
              <w:rPr>
                <w:webHidden/>
              </w:rPr>
              <w:fldChar w:fldCharType="end"/>
            </w:r>
          </w:hyperlink>
        </w:p>
        <w:p w:rsidR="0014605D" w:rsidRDefault="001E777E">
          <w:pPr>
            <w:pStyle w:val="TOC1"/>
            <w:rPr>
              <w:rFonts w:asciiTheme="minorHAnsi" w:hAnsiTheme="minorHAnsi"/>
            </w:rPr>
          </w:pPr>
          <w:hyperlink w:anchor="_Toc415494808" w:history="1">
            <w:r w:rsidR="0014605D" w:rsidRPr="007A6BB9">
              <w:rPr>
                <w:rStyle w:val="Hyperlink"/>
              </w:rPr>
              <w:t>9</w:t>
            </w:r>
            <w:r w:rsidR="0014605D">
              <w:rPr>
                <w:rFonts w:asciiTheme="minorHAnsi" w:hAnsiTheme="minorHAnsi"/>
              </w:rPr>
              <w:tab/>
            </w:r>
            <w:r w:rsidR="0014605D" w:rsidRPr="007A6BB9">
              <w:rPr>
                <w:rStyle w:val="Hyperlink"/>
              </w:rPr>
              <w:t>SDG&amp;E Ex Ante Load Impacts</w:t>
            </w:r>
            <w:r w:rsidR="0014605D">
              <w:rPr>
                <w:webHidden/>
              </w:rPr>
              <w:tab/>
            </w:r>
            <w:r w:rsidR="0014605D">
              <w:rPr>
                <w:webHidden/>
              </w:rPr>
              <w:fldChar w:fldCharType="begin"/>
            </w:r>
            <w:r w:rsidR="0014605D">
              <w:rPr>
                <w:webHidden/>
              </w:rPr>
              <w:instrText xml:space="preserve"> PAGEREF _Toc415494808 \h </w:instrText>
            </w:r>
            <w:r w:rsidR="0014605D">
              <w:rPr>
                <w:webHidden/>
              </w:rPr>
            </w:r>
            <w:r w:rsidR="0014605D">
              <w:rPr>
                <w:webHidden/>
              </w:rPr>
              <w:fldChar w:fldCharType="separate"/>
            </w:r>
            <w:r w:rsidR="0014605D">
              <w:rPr>
                <w:webHidden/>
              </w:rPr>
              <w:t>103</w:t>
            </w:r>
            <w:r w:rsidR="0014605D">
              <w:rPr>
                <w:webHidden/>
              </w:rPr>
              <w:fldChar w:fldCharType="end"/>
            </w:r>
          </w:hyperlink>
        </w:p>
        <w:p w:rsidR="0014605D" w:rsidRDefault="001E777E">
          <w:pPr>
            <w:pStyle w:val="TOC2"/>
            <w:rPr>
              <w:rFonts w:asciiTheme="minorHAnsi" w:hAnsiTheme="minorHAnsi"/>
            </w:rPr>
          </w:pPr>
          <w:hyperlink w:anchor="_Toc415494809" w:history="1">
            <w:r w:rsidR="0014605D" w:rsidRPr="007A6BB9">
              <w:rPr>
                <w:rStyle w:val="Hyperlink"/>
              </w:rPr>
              <w:t>9.1</w:t>
            </w:r>
            <w:r w:rsidR="0014605D">
              <w:rPr>
                <w:rFonts w:asciiTheme="minorHAnsi" w:hAnsiTheme="minorHAnsi"/>
              </w:rPr>
              <w:tab/>
            </w:r>
            <w:r w:rsidR="0014605D" w:rsidRPr="007A6BB9">
              <w:rPr>
                <w:rStyle w:val="Hyperlink"/>
              </w:rPr>
              <w:t>Large C&amp;I Ex Ante Load Impacts</w:t>
            </w:r>
            <w:r w:rsidR="0014605D">
              <w:rPr>
                <w:webHidden/>
              </w:rPr>
              <w:tab/>
            </w:r>
            <w:r w:rsidR="0014605D">
              <w:rPr>
                <w:webHidden/>
              </w:rPr>
              <w:fldChar w:fldCharType="begin"/>
            </w:r>
            <w:r w:rsidR="0014605D">
              <w:rPr>
                <w:webHidden/>
              </w:rPr>
              <w:instrText xml:space="preserve"> PAGEREF _Toc415494809 \h </w:instrText>
            </w:r>
            <w:r w:rsidR="0014605D">
              <w:rPr>
                <w:webHidden/>
              </w:rPr>
            </w:r>
            <w:r w:rsidR="0014605D">
              <w:rPr>
                <w:webHidden/>
              </w:rPr>
              <w:fldChar w:fldCharType="separate"/>
            </w:r>
            <w:r w:rsidR="0014605D">
              <w:rPr>
                <w:webHidden/>
              </w:rPr>
              <w:t>103</w:t>
            </w:r>
            <w:r w:rsidR="0014605D">
              <w:rPr>
                <w:webHidden/>
              </w:rPr>
              <w:fldChar w:fldCharType="end"/>
            </w:r>
          </w:hyperlink>
        </w:p>
        <w:p w:rsidR="0014605D" w:rsidRDefault="001E777E">
          <w:pPr>
            <w:pStyle w:val="TOC3"/>
            <w:rPr>
              <w:rFonts w:asciiTheme="minorHAnsi" w:hAnsiTheme="minorHAnsi" w:cstheme="minorBidi"/>
              <w:szCs w:val="22"/>
            </w:rPr>
          </w:pPr>
          <w:hyperlink w:anchor="_Toc415494810" w:history="1">
            <w:r w:rsidR="0014605D" w:rsidRPr="007A6BB9">
              <w:rPr>
                <w:rStyle w:val="Hyperlink"/>
              </w:rPr>
              <w:t>9.1.1</w:t>
            </w:r>
            <w:r w:rsidR="0014605D">
              <w:rPr>
                <w:rFonts w:asciiTheme="minorHAnsi" w:hAnsiTheme="minorHAnsi" w:cstheme="minorBidi"/>
                <w:szCs w:val="22"/>
              </w:rPr>
              <w:tab/>
            </w:r>
            <w:r w:rsidR="0014605D" w:rsidRPr="007A6BB9">
              <w:rPr>
                <w:rStyle w:val="Hyperlink"/>
              </w:rPr>
              <w:t>Monthly System Peak Day Impacts</w:t>
            </w:r>
            <w:r w:rsidR="0014605D">
              <w:rPr>
                <w:webHidden/>
              </w:rPr>
              <w:tab/>
            </w:r>
            <w:r w:rsidR="0014605D">
              <w:rPr>
                <w:webHidden/>
              </w:rPr>
              <w:fldChar w:fldCharType="begin"/>
            </w:r>
            <w:r w:rsidR="0014605D">
              <w:rPr>
                <w:webHidden/>
              </w:rPr>
              <w:instrText xml:space="preserve"> PAGEREF _Toc415494810 \h </w:instrText>
            </w:r>
            <w:r w:rsidR="0014605D">
              <w:rPr>
                <w:webHidden/>
              </w:rPr>
            </w:r>
            <w:r w:rsidR="0014605D">
              <w:rPr>
                <w:webHidden/>
              </w:rPr>
              <w:fldChar w:fldCharType="separate"/>
            </w:r>
            <w:r w:rsidR="0014605D">
              <w:rPr>
                <w:webHidden/>
              </w:rPr>
              <w:t>109</w:t>
            </w:r>
            <w:r w:rsidR="0014605D">
              <w:rPr>
                <w:webHidden/>
              </w:rPr>
              <w:fldChar w:fldCharType="end"/>
            </w:r>
          </w:hyperlink>
        </w:p>
        <w:p w:rsidR="0014605D" w:rsidRDefault="001E777E">
          <w:pPr>
            <w:pStyle w:val="TOC3"/>
            <w:rPr>
              <w:rFonts w:asciiTheme="minorHAnsi" w:hAnsiTheme="minorHAnsi" w:cstheme="minorBidi"/>
              <w:szCs w:val="22"/>
            </w:rPr>
          </w:pPr>
          <w:hyperlink w:anchor="_Toc415494811" w:history="1">
            <w:r w:rsidR="0014605D" w:rsidRPr="007A6BB9">
              <w:rPr>
                <w:rStyle w:val="Hyperlink"/>
              </w:rPr>
              <w:t>9.1.2</w:t>
            </w:r>
            <w:r w:rsidR="0014605D">
              <w:rPr>
                <w:rFonts w:asciiTheme="minorHAnsi" w:hAnsiTheme="minorHAnsi" w:cstheme="minorBidi"/>
                <w:szCs w:val="22"/>
              </w:rPr>
              <w:tab/>
            </w:r>
            <w:r w:rsidR="0014605D" w:rsidRPr="007A6BB9">
              <w:rPr>
                <w:rStyle w:val="Hyperlink"/>
              </w:rPr>
              <w:t>Ex Ante Load Impact Uncertainty</w:t>
            </w:r>
            <w:r w:rsidR="0014605D">
              <w:rPr>
                <w:webHidden/>
              </w:rPr>
              <w:tab/>
            </w:r>
            <w:r w:rsidR="0014605D">
              <w:rPr>
                <w:webHidden/>
              </w:rPr>
              <w:fldChar w:fldCharType="begin"/>
            </w:r>
            <w:r w:rsidR="0014605D">
              <w:rPr>
                <w:webHidden/>
              </w:rPr>
              <w:instrText xml:space="preserve"> PAGEREF _Toc415494811 \h </w:instrText>
            </w:r>
            <w:r w:rsidR="0014605D">
              <w:rPr>
                <w:webHidden/>
              </w:rPr>
            </w:r>
            <w:r w:rsidR="0014605D">
              <w:rPr>
                <w:webHidden/>
              </w:rPr>
              <w:fldChar w:fldCharType="separate"/>
            </w:r>
            <w:r w:rsidR="0014605D">
              <w:rPr>
                <w:webHidden/>
              </w:rPr>
              <w:t>111</w:t>
            </w:r>
            <w:r w:rsidR="0014605D">
              <w:rPr>
                <w:webHidden/>
              </w:rPr>
              <w:fldChar w:fldCharType="end"/>
            </w:r>
          </w:hyperlink>
        </w:p>
        <w:p w:rsidR="0014605D" w:rsidRDefault="001E777E">
          <w:pPr>
            <w:pStyle w:val="TOC3"/>
            <w:rPr>
              <w:rFonts w:asciiTheme="minorHAnsi" w:hAnsiTheme="minorHAnsi" w:cstheme="minorBidi"/>
              <w:szCs w:val="22"/>
            </w:rPr>
          </w:pPr>
          <w:hyperlink w:anchor="_Toc415494812" w:history="1">
            <w:r w:rsidR="0014605D" w:rsidRPr="007A6BB9">
              <w:rPr>
                <w:rStyle w:val="Hyperlink"/>
              </w:rPr>
              <w:t>9.1.3</w:t>
            </w:r>
            <w:r w:rsidR="0014605D">
              <w:rPr>
                <w:rFonts w:asciiTheme="minorHAnsi" w:hAnsiTheme="minorHAnsi" w:cstheme="minorBidi"/>
                <w:szCs w:val="22"/>
              </w:rPr>
              <w:tab/>
            </w:r>
            <w:r w:rsidR="0014605D" w:rsidRPr="007A6BB9">
              <w:rPr>
                <w:rStyle w:val="Hyperlink"/>
              </w:rPr>
              <w:t>Comparison of 2013 and 2014 Ex Ante Estimates</w:t>
            </w:r>
            <w:r w:rsidR="0014605D">
              <w:rPr>
                <w:webHidden/>
              </w:rPr>
              <w:tab/>
            </w:r>
            <w:r w:rsidR="0014605D">
              <w:rPr>
                <w:webHidden/>
              </w:rPr>
              <w:fldChar w:fldCharType="begin"/>
            </w:r>
            <w:r w:rsidR="0014605D">
              <w:rPr>
                <w:webHidden/>
              </w:rPr>
              <w:instrText xml:space="preserve"> PAGEREF _Toc415494812 \h </w:instrText>
            </w:r>
            <w:r w:rsidR="0014605D">
              <w:rPr>
                <w:webHidden/>
              </w:rPr>
            </w:r>
            <w:r w:rsidR="0014605D">
              <w:rPr>
                <w:webHidden/>
              </w:rPr>
              <w:fldChar w:fldCharType="separate"/>
            </w:r>
            <w:r w:rsidR="0014605D">
              <w:rPr>
                <w:webHidden/>
              </w:rPr>
              <w:t>112</w:t>
            </w:r>
            <w:r w:rsidR="0014605D">
              <w:rPr>
                <w:webHidden/>
              </w:rPr>
              <w:fldChar w:fldCharType="end"/>
            </w:r>
          </w:hyperlink>
        </w:p>
        <w:p w:rsidR="0014605D" w:rsidRDefault="001E777E">
          <w:pPr>
            <w:pStyle w:val="TOC3"/>
            <w:rPr>
              <w:rFonts w:asciiTheme="minorHAnsi" w:hAnsiTheme="minorHAnsi" w:cstheme="minorBidi"/>
              <w:szCs w:val="22"/>
            </w:rPr>
          </w:pPr>
          <w:hyperlink w:anchor="_Toc415494813" w:history="1">
            <w:r w:rsidR="0014605D" w:rsidRPr="007A6BB9">
              <w:rPr>
                <w:rStyle w:val="Hyperlink"/>
              </w:rPr>
              <w:t>9.1.4</w:t>
            </w:r>
            <w:r w:rsidR="0014605D">
              <w:rPr>
                <w:rFonts w:asciiTheme="minorHAnsi" w:hAnsiTheme="minorHAnsi" w:cstheme="minorBidi"/>
                <w:szCs w:val="22"/>
              </w:rPr>
              <w:tab/>
            </w:r>
            <w:r w:rsidR="0014605D" w:rsidRPr="007A6BB9">
              <w:rPr>
                <w:rStyle w:val="Hyperlink"/>
              </w:rPr>
              <w:t>Relationship Between Ex Post and Ex Ante Estimates</w:t>
            </w:r>
            <w:r w:rsidR="0014605D">
              <w:rPr>
                <w:webHidden/>
              </w:rPr>
              <w:tab/>
            </w:r>
            <w:r w:rsidR="0014605D">
              <w:rPr>
                <w:webHidden/>
              </w:rPr>
              <w:fldChar w:fldCharType="begin"/>
            </w:r>
            <w:r w:rsidR="0014605D">
              <w:rPr>
                <w:webHidden/>
              </w:rPr>
              <w:instrText xml:space="preserve"> PAGEREF _Toc415494813 \h </w:instrText>
            </w:r>
            <w:r w:rsidR="0014605D">
              <w:rPr>
                <w:webHidden/>
              </w:rPr>
            </w:r>
            <w:r w:rsidR="0014605D">
              <w:rPr>
                <w:webHidden/>
              </w:rPr>
              <w:fldChar w:fldCharType="separate"/>
            </w:r>
            <w:r w:rsidR="0014605D">
              <w:rPr>
                <w:webHidden/>
              </w:rPr>
              <w:t>113</w:t>
            </w:r>
            <w:r w:rsidR="0014605D">
              <w:rPr>
                <w:webHidden/>
              </w:rPr>
              <w:fldChar w:fldCharType="end"/>
            </w:r>
          </w:hyperlink>
        </w:p>
        <w:p w:rsidR="0014605D" w:rsidRDefault="001E777E">
          <w:pPr>
            <w:pStyle w:val="TOC2"/>
            <w:rPr>
              <w:rFonts w:asciiTheme="minorHAnsi" w:hAnsiTheme="minorHAnsi"/>
            </w:rPr>
          </w:pPr>
          <w:hyperlink w:anchor="_Toc415494814" w:history="1">
            <w:r w:rsidR="0014605D" w:rsidRPr="007A6BB9">
              <w:rPr>
                <w:rStyle w:val="Hyperlink"/>
              </w:rPr>
              <w:t>9.2</w:t>
            </w:r>
            <w:r w:rsidR="0014605D">
              <w:rPr>
                <w:rFonts w:asciiTheme="minorHAnsi" w:hAnsiTheme="minorHAnsi"/>
              </w:rPr>
              <w:tab/>
            </w:r>
            <w:r w:rsidR="0014605D" w:rsidRPr="007A6BB9">
              <w:rPr>
                <w:rStyle w:val="Hyperlink"/>
              </w:rPr>
              <w:t>Medium C&amp;I Ex Ante Impacts</w:t>
            </w:r>
            <w:r w:rsidR="0014605D">
              <w:rPr>
                <w:webHidden/>
              </w:rPr>
              <w:tab/>
            </w:r>
            <w:r w:rsidR="0014605D">
              <w:rPr>
                <w:webHidden/>
              </w:rPr>
              <w:fldChar w:fldCharType="begin"/>
            </w:r>
            <w:r w:rsidR="0014605D">
              <w:rPr>
                <w:webHidden/>
              </w:rPr>
              <w:instrText xml:space="preserve"> PAGEREF _Toc415494814 \h </w:instrText>
            </w:r>
            <w:r w:rsidR="0014605D">
              <w:rPr>
                <w:webHidden/>
              </w:rPr>
            </w:r>
            <w:r w:rsidR="0014605D">
              <w:rPr>
                <w:webHidden/>
              </w:rPr>
              <w:fldChar w:fldCharType="separate"/>
            </w:r>
            <w:r w:rsidR="0014605D">
              <w:rPr>
                <w:webHidden/>
              </w:rPr>
              <w:t>116</w:t>
            </w:r>
            <w:r w:rsidR="0014605D">
              <w:rPr>
                <w:webHidden/>
              </w:rPr>
              <w:fldChar w:fldCharType="end"/>
            </w:r>
          </w:hyperlink>
        </w:p>
        <w:p w:rsidR="0014605D" w:rsidRDefault="001E777E">
          <w:pPr>
            <w:pStyle w:val="TOC3"/>
            <w:rPr>
              <w:rFonts w:asciiTheme="minorHAnsi" w:hAnsiTheme="minorHAnsi" w:cstheme="minorBidi"/>
              <w:szCs w:val="22"/>
            </w:rPr>
          </w:pPr>
          <w:hyperlink w:anchor="_Toc415494815" w:history="1">
            <w:r w:rsidR="0014605D" w:rsidRPr="007A6BB9">
              <w:rPr>
                <w:rStyle w:val="Hyperlink"/>
                <w:rFonts w:cs="Calibri"/>
              </w:rPr>
              <w:t>9.2.1</w:t>
            </w:r>
            <w:r w:rsidR="0014605D">
              <w:rPr>
                <w:rFonts w:asciiTheme="minorHAnsi" w:hAnsiTheme="minorHAnsi" w:cstheme="minorBidi"/>
                <w:szCs w:val="22"/>
              </w:rPr>
              <w:tab/>
            </w:r>
            <w:r w:rsidR="0014605D" w:rsidRPr="007A6BB9">
              <w:rPr>
                <w:rStyle w:val="Hyperlink"/>
              </w:rPr>
              <w:t>Monthly System Peak Day Impacts</w:t>
            </w:r>
            <w:r w:rsidR="0014605D">
              <w:rPr>
                <w:webHidden/>
              </w:rPr>
              <w:tab/>
            </w:r>
            <w:r w:rsidR="0014605D">
              <w:rPr>
                <w:webHidden/>
              </w:rPr>
              <w:fldChar w:fldCharType="begin"/>
            </w:r>
            <w:r w:rsidR="0014605D">
              <w:rPr>
                <w:webHidden/>
              </w:rPr>
              <w:instrText xml:space="preserve"> PAGEREF _Toc415494815 \h </w:instrText>
            </w:r>
            <w:r w:rsidR="0014605D">
              <w:rPr>
                <w:webHidden/>
              </w:rPr>
            </w:r>
            <w:r w:rsidR="0014605D">
              <w:rPr>
                <w:webHidden/>
              </w:rPr>
              <w:fldChar w:fldCharType="separate"/>
            </w:r>
            <w:r w:rsidR="0014605D">
              <w:rPr>
                <w:webHidden/>
              </w:rPr>
              <w:t>116</w:t>
            </w:r>
            <w:r w:rsidR="0014605D">
              <w:rPr>
                <w:webHidden/>
              </w:rPr>
              <w:fldChar w:fldCharType="end"/>
            </w:r>
          </w:hyperlink>
        </w:p>
        <w:p w:rsidR="0014605D" w:rsidRDefault="001E777E">
          <w:pPr>
            <w:pStyle w:val="TOC1"/>
            <w:rPr>
              <w:rFonts w:asciiTheme="minorHAnsi" w:hAnsiTheme="minorHAnsi"/>
            </w:rPr>
          </w:pPr>
          <w:hyperlink w:anchor="_Toc415494816" w:history="1">
            <w:r w:rsidR="0014605D" w:rsidRPr="007A6BB9">
              <w:rPr>
                <w:rStyle w:val="Hyperlink"/>
              </w:rPr>
              <w:t>10</w:t>
            </w:r>
            <w:r w:rsidR="0014605D">
              <w:rPr>
                <w:rFonts w:asciiTheme="minorHAnsi" w:hAnsiTheme="minorHAnsi"/>
              </w:rPr>
              <w:tab/>
            </w:r>
            <w:r w:rsidR="0014605D" w:rsidRPr="007A6BB9">
              <w:rPr>
                <w:rStyle w:val="Hyperlink"/>
              </w:rPr>
              <w:t>Recommendations</w:t>
            </w:r>
            <w:r w:rsidR="0014605D">
              <w:rPr>
                <w:webHidden/>
              </w:rPr>
              <w:tab/>
            </w:r>
            <w:r w:rsidR="0014605D">
              <w:rPr>
                <w:webHidden/>
              </w:rPr>
              <w:fldChar w:fldCharType="begin"/>
            </w:r>
            <w:r w:rsidR="0014605D">
              <w:rPr>
                <w:webHidden/>
              </w:rPr>
              <w:instrText xml:space="preserve"> PAGEREF _Toc415494816 \h </w:instrText>
            </w:r>
            <w:r w:rsidR="0014605D">
              <w:rPr>
                <w:webHidden/>
              </w:rPr>
            </w:r>
            <w:r w:rsidR="0014605D">
              <w:rPr>
                <w:webHidden/>
              </w:rPr>
              <w:fldChar w:fldCharType="separate"/>
            </w:r>
            <w:r w:rsidR="0014605D">
              <w:rPr>
                <w:webHidden/>
              </w:rPr>
              <w:t>118</w:t>
            </w:r>
            <w:r w:rsidR="0014605D">
              <w:rPr>
                <w:webHidden/>
              </w:rPr>
              <w:fldChar w:fldCharType="end"/>
            </w:r>
          </w:hyperlink>
        </w:p>
        <w:p w:rsidR="0014605D" w:rsidRDefault="001E777E">
          <w:pPr>
            <w:pStyle w:val="TOC1"/>
            <w:rPr>
              <w:rFonts w:asciiTheme="minorHAnsi" w:hAnsiTheme="minorHAnsi"/>
            </w:rPr>
          </w:pPr>
          <w:hyperlink w:anchor="_Toc415494817" w:history="1">
            <w:r w:rsidR="0014605D" w:rsidRPr="007A6BB9">
              <w:rPr>
                <w:rStyle w:val="Hyperlink"/>
                <w:snapToGrid w:val="0"/>
                <w:w w:val="0"/>
              </w:rPr>
              <w:t>Appendix A</w:t>
            </w:r>
            <w:r w:rsidR="0014605D">
              <w:rPr>
                <w:rFonts w:asciiTheme="minorHAnsi" w:hAnsiTheme="minorHAnsi"/>
              </w:rPr>
              <w:tab/>
            </w:r>
            <w:r w:rsidR="0014605D" w:rsidRPr="007A6BB9">
              <w:rPr>
                <w:rStyle w:val="Hyperlink"/>
              </w:rPr>
              <w:t>Candidate Probit Models</w:t>
            </w:r>
            <w:r w:rsidR="0014605D">
              <w:rPr>
                <w:webHidden/>
              </w:rPr>
              <w:tab/>
            </w:r>
            <w:r w:rsidR="0014605D">
              <w:rPr>
                <w:webHidden/>
              </w:rPr>
              <w:fldChar w:fldCharType="begin"/>
            </w:r>
            <w:r w:rsidR="0014605D">
              <w:rPr>
                <w:webHidden/>
              </w:rPr>
              <w:instrText xml:space="preserve"> PAGEREF _Toc415494817 \h </w:instrText>
            </w:r>
            <w:r w:rsidR="0014605D">
              <w:rPr>
                <w:webHidden/>
              </w:rPr>
            </w:r>
            <w:r w:rsidR="0014605D">
              <w:rPr>
                <w:webHidden/>
              </w:rPr>
              <w:fldChar w:fldCharType="separate"/>
            </w:r>
            <w:r w:rsidR="0014605D">
              <w:rPr>
                <w:webHidden/>
              </w:rPr>
              <w:t>119</w:t>
            </w:r>
            <w:r w:rsidR="0014605D">
              <w:rPr>
                <w:webHidden/>
              </w:rPr>
              <w:fldChar w:fldCharType="end"/>
            </w:r>
          </w:hyperlink>
        </w:p>
        <w:p w:rsidR="0014605D" w:rsidRDefault="001E777E">
          <w:pPr>
            <w:pStyle w:val="TOC1"/>
            <w:rPr>
              <w:rFonts w:asciiTheme="minorHAnsi" w:hAnsiTheme="minorHAnsi"/>
            </w:rPr>
          </w:pPr>
          <w:hyperlink w:anchor="_Toc415494818" w:history="1">
            <w:r w:rsidR="0014605D" w:rsidRPr="007A6BB9">
              <w:rPr>
                <w:rStyle w:val="Hyperlink"/>
                <w:snapToGrid w:val="0"/>
                <w:w w:val="0"/>
              </w:rPr>
              <w:t>Appendix B</w:t>
            </w:r>
            <w:r w:rsidR="0014605D">
              <w:rPr>
                <w:rFonts w:asciiTheme="minorHAnsi" w:hAnsiTheme="minorHAnsi"/>
              </w:rPr>
              <w:tab/>
            </w:r>
            <w:r w:rsidR="0014605D" w:rsidRPr="007A6BB9">
              <w:rPr>
                <w:rStyle w:val="Hyperlink"/>
              </w:rPr>
              <w:t>Matching Model Selection Summary Statistics  and Rankings</w:t>
            </w:r>
            <w:r w:rsidR="0014605D">
              <w:rPr>
                <w:webHidden/>
              </w:rPr>
              <w:tab/>
            </w:r>
            <w:r w:rsidR="0014605D">
              <w:rPr>
                <w:webHidden/>
              </w:rPr>
              <w:fldChar w:fldCharType="begin"/>
            </w:r>
            <w:r w:rsidR="0014605D">
              <w:rPr>
                <w:webHidden/>
              </w:rPr>
              <w:instrText xml:space="preserve"> PAGEREF _Toc415494818 \h </w:instrText>
            </w:r>
            <w:r w:rsidR="0014605D">
              <w:rPr>
                <w:webHidden/>
              </w:rPr>
            </w:r>
            <w:r w:rsidR="0014605D">
              <w:rPr>
                <w:webHidden/>
              </w:rPr>
              <w:fldChar w:fldCharType="separate"/>
            </w:r>
            <w:r w:rsidR="0014605D">
              <w:rPr>
                <w:webHidden/>
              </w:rPr>
              <w:t>122</w:t>
            </w:r>
            <w:r w:rsidR="0014605D">
              <w:rPr>
                <w:webHidden/>
              </w:rPr>
              <w:fldChar w:fldCharType="end"/>
            </w:r>
          </w:hyperlink>
        </w:p>
        <w:p w:rsidR="0014605D" w:rsidRDefault="001E777E">
          <w:pPr>
            <w:pStyle w:val="TOC1"/>
            <w:rPr>
              <w:rFonts w:asciiTheme="minorHAnsi" w:hAnsiTheme="minorHAnsi"/>
            </w:rPr>
          </w:pPr>
          <w:hyperlink w:anchor="_Toc415494819" w:history="1">
            <w:r w:rsidR="0014605D" w:rsidRPr="007A6BB9">
              <w:rPr>
                <w:rStyle w:val="Hyperlink"/>
                <w:snapToGrid w:val="0"/>
                <w:w w:val="0"/>
              </w:rPr>
              <w:t>Appendix C</w:t>
            </w:r>
            <w:r w:rsidR="0014605D">
              <w:rPr>
                <w:rFonts w:asciiTheme="minorHAnsi" w:hAnsiTheme="minorHAnsi"/>
              </w:rPr>
              <w:tab/>
            </w:r>
            <w:r w:rsidR="0014605D" w:rsidRPr="007A6BB9">
              <w:rPr>
                <w:rStyle w:val="Hyperlink"/>
              </w:rPr>
              <w:t>Difference-in-differences Regression Models</w:t>
            </w:r>
            <w:r w:rsidR="0014605D">
              <w:rPr>
                <w:webHidden/>
              </w:rPr>
              <w:tab/>
            </w:r>
            <w:r w:rsidR="0014605D">
              <w:rPr>
                <w:webHidden/>
              </w:rPr>
              <w:fldChar w:fldCharType="begin"/>
            </w:r>
            <w:r w:rsidR="0014605D">
              <w:rPr>
                <w:webHidden/>
              </w:rPr>
              <w:instrText xml:space="preserve"> PAGEREF _Toc415494819 \h </w:instrText>
            </w:r>
            <w:r w:rsidR="0014605D">
              <w:rPr>
                <w:webHidden/>
              </w:rPr>
            </w:r>
            <w:r w:rsidR="0014605D">
              <w:rPr>
                <w:webHidden/>
              </w:rPr>
              <w:fldChar w:fldCharType="separate"/>
            </w:r>
            <w:r w:rsidR="0014605D">
              <w:rPr>
                <w:webHidden/>
              </w:rPr>
              <w:t>126</w:t>
            </w:r>
            <w:r w:rsidR="0014605D">
              <w:rPr>
                <w:webHidden/>
              </w:rPr>
              <w:fldChar w:fldCharType="end"/>
            </w:r>
          </w:hyperlink>
        </w:p>
        <w:p w:rsidR="0014605D" w:rsidRDefault="001E777E">
          <w:pPr>
            <w:pStyle w:val="TOC1"/>
            <w:rPr>
              <w:rFonts w:asciiTheme="minorHAnsi" w:hAnsiTheme="minorHAnsi"/>
            </w:rPr>
          </w:pPr>
          <w:hyperlink w:anchor="_Toc415494820" w:history="1">
            <w:r w:rsidR="0014605D" w:rsidRPr="007A6BB9">
              <w:rPr>
                <w:rStyle w:val="Hyperlink"/>
                <w:snapToGrid w:val="0"/>
                <w:w w:val="0"/>
              </w:rPr>
              <w:t>Appendix D</w:t>
            </w:r>
            <w:r w:rsidR="0014605D">
              <w:rPr>
                <w:rFonts w:asciiTheme="minorHAnsi" w:hAnsiTheme="minorHAnsi"/>
              </w:rPr>
              <w:tab/>
            </w:r>
            <w:r w:rsidR="0014605D" w:rsidRPr="007A6BB9">
              <w:rPr>
                <w:rStyle w:val="Hyperlink"/>
              </w:rPr>
              <w:t>Individual Customer Regression Models</w:t>
            </w:r>
            <w:r w:rsidR="0014605D">
              <w:rPr>
                <w:webHidden/>
              </w:rPr>
              <w:tab/>
            </w:r>
            <w:r w:rsidR="0014605D">
              <w:rPr>
                <w:webHidden/>
              </w:rPr>
              <w:fldChar w:fldCharType="begin"/>
            </w:r>
            <w:r w:rsidR="0014605D">
              <w:rPr>
                <w:webHidden/>
              </w:rPr>
              <w:instrText xml:space="preserve"> PAGEREF _Toc415494820 \h </w:instrText>
            </w:r>
            <w:r w:rsidR="0014605D">
              <w:rPr>
                <w:webHidden/>
              </w:rPr>
            </w:r>
            <w:r w:rsidR="0014605D">
              <w:rPr>
                <w:webHidden/>
              </w:rPr>
              <w:fldChar w:fldCharType="separate"/>
            </w:r>
            <w:r w:rsidR="0014605D">
              <w:rPr>
                <w:webHidden/>
              </w:rPr>
              <w:t>127</w:t>
            </w:r>
            <w:r w:rsidR="0014605D">
              <w:rPr>
                <w:webHidden/>
              </w:rPr>
              <w:fldChar w:fldCharType="end"/>
            </w:r>
          </w:hyperlink>
        </w:p>
        <w:p w:rsidR="0014605D" w:rsidRDefault="001E777E">
          <w:pPr>
            <w:pStyle w:val="TOC1"/>
            <w:rPr>
              <w:rFonts w:asciiTheme="minorHAnsi" w:hAnsiTheme="minorHAnsi"/>
            </w:rPr>
          </w:pPr>
          <w:hyperlink w:anchor="_Toc415494821" w:history="1">
            <w:r w:rsidR="0014605D" w:rsidRPr="007A6BB9">
              <w:rPr>
                <w:rStyle w:val="Hyperlink"/>
                <w:snapToGrid w:val="0"/>
                <w:w w:val="0"/>
              </w:rPr>
              <w:t>Appendix E</w:t>
            </w:r>
            <w:r w:rsidR="0014605D">
              <w:rPr>
                <w:rFonts w:asciiTheme="minorHAnsi" w:hAnsiTheme="minorHAnsi"/>
              </w:rPr>
              <w:tab/>
            </w:r>
            <w:r w:rsidR="0014605D" w:rsidRPr="007A6BB9">
              <w:rPr>
                <w:rStyle w:val="Hyperlink"/>
              </w:rPr>
              <w:t>Portfolio-adjusted Ex Ante Load Impacts</w:t>
            </w:r>
            <w:r w:rsidR="0014605D">
              <w:rPr>
                <w:webHidden/>
              </w:rPr>
              <w:tab/>
            </w:r>
            <w:r w:rsidR="0014605D">
              <w:rPr>
                <w:webHidden/>
              </w:rPr>
              <w:fldChar w:fldCharType="begin"/>
            </w:r>
            <w:r w:rsidR="0014605D">
              <w:rPr>
                <w:webHidden/>
              </w:rPr>
              <w:instrText xml:space="preserve"> PAGEREF _Toc415494821 \h </w:instrText>
            </w:r>
            <w:r w:rsidR="0014605D">
              <w:rPr>
                <w:webHidden/>
              </w:rPr>
            </w:r>
            <w:r w:rsidR="0014605D">
              <w:rPr>
                <w:webHidden/>
              </w:rPr>
              <w:fldChar w:fldCharType="separate"/>
            </w:r>
            <w:r w:rsidR="0014605D">
              <w:rPr>
                <w:webHidden/>
              </w:rPr>
              <w:t>129</w:t>
            </w:r>
            <w:r w:rsidR="0014605D">
              <w:rPr>
                <w:webHidden/>
              </w:rPr>
              <w:fldChar w:fldCharType="end"/>
            </w:r>
          </w:hyperlink>
        </w:p>
        <w:p w:rsidR="0014605D" w:rsidRDefault="001E777E">
          <w:pPr>
            <w:pStyle w:val="TOC1"/>
            <w:rPr>
              <w:rFonts w:asciiTheme="minorHAnsi" w:hAnsiTheme="minorHAnsi"/>
            </w:rPr>
          </w:pPr>
          <w:hyperlink w:anchor="_Toc415494822" w:history="1">
            <w:r w:rsidR="0014605D" w:rsidRPr="007A6BB9">
              <w:rPr>
                <w:rStyle w:val="Hyperlink"/>
                <w:snapToGrid w:val="0"/>
                <w:w w:val="0"/>
              </w:rPr>
              <w:t>Appendix F</w:t>
            </w:r>
            <w:r w:rsidR="0014605D">
              <w:rPr>
                <w:rFonts w:asciiTheme="minorHAnsi" w:hAnsiTheme="minorHAnsi"/>
              </w:rPr>
              <w:tab/>
            </w:r>
            <w:r w:rsidR="0014605D" w:rsidRPr="007A6BB9">
              <w:rPr>
                <w:rStyle w:val="Hyperlink"/>
              </w:rPr>
              <w:t>Ex Ante Reference Load Regression Specification</w:t>
            </w:r>
            <w:r w:rsidR="0014605D">
              <w:rPr>
                <w:webHidden/>
              </w:rPr>
              <w:tab/>
            </w:r>
            <w:r w:rsidR="0014605D">
              <w:rPr>
                <w:webHidden/>
              </w:rPr>
              <w:fldChar w:fldCharType="begin"/>
            </w:r>
            <w:r w:rsidR="0014605D">
              <w:rPr>
                <w:webHidden/>
              </w:rPr>
              <w:instrText xml:space="preserve"> PAGEREF _Toc415494822 \h </w:instrText>
            </w:r>
            <w:r w:rsidR="0014605D">
              <w:rPr>
                <w:webHidden/>
              </w:rPr>
            </w:r>
            <w:r w:rsidR="0014605D">
              <w:rPr>
                <w:webHidden/>
              </w:rPr>
              <w:fldChar w:fldCharType="separate"/>
            </w:r>
            <w:r w:rsidR="0014605D">
              <w:rPr>
                <w:webHidden/>
              </w:rPr>
              <w:t>134</w:t>
            </w:r>
            <w:r w:rsidR="0014605D">
              <w:rPr>
                <w:webHidden/>
              </w:rPr>
              <w:fldChar w:fldCharType="end"/>
            </w:r>
          </w:hyperlink>
        </w:p>
        <w:p w:rsidR="0014605D" w:rsidRDefault="001E777E">
          <w:pPr>
            <w:pStyle w:val="TOC1"/>
            <w:rPr>
              <w:rFonts w:asciiTheme="minorHAnsi" w:hAnsiTheme="minorHAnsi"/>
            </w:rPr>
          </w:pPr>
          <w:hyperlink w:anchor="_Toc415494823" w:history="1">
            <w:r w:rsidR="0014605D" w:rsidRPr="007A6BB9">
              <w:rPr>
                <w:rStyle w:val="Hyperlink"/>
                <w:snapToGrid w:val="0"/>
                <w:w w:val="0"/>
              </w:rPr>
              <w:t>Appendix G</w:t>
            </w:r>
            <w:r w:rsidR="0014605D">
              <w:rPr>
                <w:rFonts w:asciiTheme="minorHAnsi" w:hAnsiTheme="minorHAnsi"/>
              </w:rPr>
              <w:tab/>
            </w:r>
            <w:r w:rsidR="0014605D" w:rsidRPr="007A6BB9">
              <w:rPr>
                <w:rStyle w:val="Hyperlink"/>
              </w:rPr>
              <w:t>Ex Ante Percent Load Impact Regression Specification</w:t>
            </w:r>
            <w:r w:rsidR="0014605D">
              <w:rPr>
                <w:webHidden/>
              </w:rPr>
              <w:tab/>
            </w:r>
            <w:r w:rsidR="0014605D">
              <w:rPr>
                <w:webHidden/>
              </w:rPr>
              <w:fldChar w:fldCharType="begin"/>
            </w:r>
            <w:r w:rsidR="0014605D">
              <w:rPr>
                <w:webHidden/>
              </w:rPr>
              <w:instrText xml:space="preserve"> PAGEREF _Toc415494823 \h </w:instrText>
            </w:r>
            <w:r w:rsidR="0014605D">
              <w:rPr>
                <w:webHidden/>
              </w:rPr>
            </w:r>
            <w:r w:rsidR="0014605D">
              <w:rPr>
                <w:webHidden/>
              </w:rPr>
              <w:fldChar w:fldCharType="separate"/>
            </w:r>
            <w:r w:rsidR="0014605D">
              <w:rPr>
                <w:webHidden/>
              </w:rPr>
              <w:t>135</w:t>
            </w:r>
            <w:r w:rsidR="0014605D">
              <w:rPr>
                <w:webHidden/>
              </w:rPr>
              <w:fldChar w:fldCharType="end"/>
            </w:r>
          </w:hyperlink>
        </w:p>
        <w:p w:rsidR="000E73DD" w:rsidRDefault="009E3548" w:rsidP="000E73DD">
          <w:pPr>
            <w:tabs>
              <w:tab w:val="right" w:leader="dot" w:pos="8460"/>
            </w:tabs>
          </w:pPr>
          <w:r>
            <w:rPr>
              <w:rFonts w:ascii="Arial" w:hAnsi="Arial" w:cs="Arial"/>
              <w:noProof/>
              <w:sz w:val="24"/>
              <w:szCs w:val="24"/>
            </w:rPr>
            <w:fldChar w:fldCharType="end"/>
          </w:r>
        </w:p>
      </w:sdtContent>
    </w:sdt>
    <w:p w:rsidR="000E73DD" w:rsidRDefault="000E73DD" w:rsidP="000E73DD">
      <w:pPr>
        <w:tabs>
          <w:tab w:val="right" w:leader="dot" w:pos="8460"/>
        </w:tabs>
        <w:sectPr w:rsidR="000E73DD" w:rsidSect="00B50663">
          <w:headerReference w:type="default" r:id="rId29"/>
          <w:footerReference w:type="default" r:id="rId30"/>
          <w:headerReference w:type="first" r:id="rId31"/>
          <w:footerReference w:type="first" r:id="rId32"/>
          <w:pgSz w:w="12240" w:h="15840"/>
          <w:pgMar w:top="1440" w:right="1800" w:bottom="1440" w:left="1800" w:header="720" w:footer="720" w:gutter="0"/>
          <w:pgNumType w:fmt="lowerRoman" w:start="1"/>
          <w:cols w:space="720"/>
          <w:docGrid w:linePitch="360"/>
        </w:sectPr>
      </w:pPr>
    </w:p>
    <w:bookmarkEnd w:id="0"/>
    <w:p w:rsidR="000E73DD" w:rsidRDefault="000E73DD" w:rsidP="00143E9F">
      <w:pPr>
        <w:pStyle w:val="Heading1"/>
        <w:sectPr w:rsidR="000E73DD" w:rsidSect="0032034D">
          <w:headerReference w:type="default" r:id="rId33"/>
          <w:type w:val="continuous"/>
          <w:pgSz w:w="12240" w:h="15840"/>
          <w:pgMar w:top="1440" w:right="1440" w:bottom="1440" w:left="1440" w:header="720" w:footer="720" w:gutter="0"/>
          <w:pgNumType w:start="1"/>
          <w:cols w:space="720"/>
          <w:docGrid w:linePitch="360"/>
        </w:sectPr>
      </w:pPr>
    </w:p>
    <w:p w:rsidR="006A7080" w:rsidRDefault="006A7080" w:rsidP="006A7080">
      <w:pPr>
        <w:pStyle w:val="Heading1"/>
      </w:pPr>
      <w:bookmarkStart w:id="1" w:name="_Toc412650577"/>
      <w:bookmarkStart w:id="2" w:name="_Toc415494748"/>
      <w:r>
        <w:lastRenderedPageBreak/>
        <w:t>Executive Summary</w:t>
      </w:r>
      <w:bookmarkEnd w:id="1"/>
      <w:bookmarkEnd w:id="2"/>
    </w:p>
    <w:p w:rsidR="008028DC" w:rsidRDefault="008028DC" w:rsidP="008028DC">
      <w:pPr>
        <w:pStyle w:val="BodyParagraph"/>
      </w:pPr>
      <w:r>
        <w:t>This report presents the 2014</w:t>
      </w:r>
      <w:r w:rsidRPr="005C465D">
        <w:t xml:space="preserve"> ex post loa</w:t>
      </w:r>
      <w:r>
        <w:t>d impact estimates for the non-r</w:t>
      </w:r>
      <w:r w:rsidRPr="005C465D">
        <w:t xml:space="preserve">esidential </w:t>
      </w:r>
      <w:r>
        <w:t>critical peak</w:t>
      </w:r>
      <w:r w:rsidR="00042853">
        <w:t> </w:t>
      </w:r>
      <w:r>
        <w:t>p</w:t>
      </w:r>
      <w:r w:rsidRPr="005C465D">
        <w:t xml:space="preserve">ricing (CPP) tariffs that </w:t>
      </w:r>
      <w:r w:rsidR="005657BE">
        <w:t>a</w:t>
      </w:r>
      <w:r w:rsidR="0009279D">
        <w:t>re</w:t>
      </w:r>
      <w:r w:rsidRPr="005C465D">
        <w:t xml:space="preserve"> implemented by California’s three electric investor</w:t>
      </w:r>
      <w:r>
        <w:t>-</w:t>
      </w:r>
      <w:r w:rsidRPr="005C465D">
        <w:t>owned utilities (IOUs)</w:t>
      </w:r>
      <w:r w:rsidR="0009279D">
        <w:t>:</w:t>
      </w:r>
      <w:r w:rsidRPr="005C465D">
        <w:t xml:space="preserve"> Pacific Gas and Electric </w:t>
      </w:r>
      <w:r>
        <w:t xml:space="preserve">Co. </w:t>
      </w:r>
      <w:r w:rsidRPr="005C465D">
        <w:t>(PG&amp;E)</w:t>
      </w:r>
      <w:r w:rsidR="0009279D">
        <w:t>;</w:t>
      </w:r>
      <w:r w:rsidRPr="005C465D">
        <w:t xml:space="preserve"> Southern California Edison (SCE)</w:t>
      </w:r>
      <w:r w:rsidR="0009279D">
        <w:t>;</w:t>
      </w:r>
      <w:r w:rsidRPr="005C465D">
        <w:t xml:space="preserve"> and San Diego Gas and Electric </w:t>
      </w:r>
      <w:r>
        <w:t xml:space="preserve">Co. </w:t>
      </w:r>
      <w:r w:rsidRPr="005C465D">
        <w:t>(SDG&amp;E)</w:t>
      </w:r>
      <w:proofErr w:type="gramStart"/>
      <w:r w:rsidRPr="005C465D">
        <w:t xml:space="preserve">. </w:t>
      </w:r>
      <w:r>
        <w:t xml:space="preserve"> </w:t>
      </w:r>
      <w:proofErr w:type="gramEnd"/>
      <w:r>
        <w:t>Ex ante estimates for 2015 through 2025 are also</w:t>
      </w:r>
      <w:r w:rsidR="00042853">
        <w:t> </w:t>
      </w:r>
      <w:r>
        <w:t>presented.</w:t>
      </w:r>
    </w:p>
    <w:p w:rsidR="008028DC" w:rsidRDefault="005657BE" w:rsidP="008028DC">
      <w:pPr>
        <w:pStyle w:val="BodyParagraph"/>
      </w:pPr>
      <w:bookmarkStart w:id="3" w:name="_Toc318285420"/>
      <w:bookmarkStart w:id="4" w:name="_Toc318290044"/>
      <w:bookmarkStart w:id="5" w:name="_Toc318368887"/>
      <w:bookmarkStart w:id="6" w:name="_Toc318399481"/>
      <w:bookmarkStart w:id="7" w:name="_Toc318400299"/>
      <w:bookmarkStart w:id="8" w:name="_Toc318401774"/>
      <w:bookmarkStart w:id="9" w:name="_Toc318412995"/>
      <w:bookmarkStart w:id="10" w:name="_Toc318413289"/>
      <w:bookmarkStart w:id="11" w:name="_Toc318285421"/>
      <w:bookmarkStart w:id="12" w:name="_Toc318290045"/>
      <w:bookmarkStart w:id="13" w:name="_Toc318368888"/>
      <w:bookmarkStart w:id="14" w:name="_Toc318399482"/>
      <w:bookmarkStart w:id="15" w:name="_Toc318400300"/>
      <w:bookmarkStart w:id="16" w:name="_Toc318401775"/>
      <w:bookmarkStart w:id="17" w:name="_Toc318412996"/>
      <w:bookmarkStart w:id="18" w:name="_Toc318413290"/>
      <w:bookmarkStart w:id="19" w:name="_Toc318285422"/>
      <w:bookmarkStart w:id="20" w:name="_Toc318290046"/>
      <w:bookmarkStart w:id="21" w:name="_Toc318368889"/>
      <w:bookmarkStart w:id="22" w:name="_Toc318399483"/>
      <w:bookmarkStart w:id="23" w:name="_Toc318400301"/>
      <w:bookmarkStart w:id="24" w:name="_Toc318401776"/>
      <w:bookmarkStart w:id="25" w:name="_Toc318412997"/>
      <w:bookmarkStart w:id="26" w:name="_Toc318413291"/>
      <w:bookmarkStart w:id="27" w:name="_Toc318285423"/>
      <w:bookmarkStart w:id="28" w:name="_Toc318290047"/>
      <w:bookmarkStart w:id="29" w:name="_Toc318368890"/>
      <w:bookmarkStart w:id="30" w:name="_Toc318399484"/>
      <w:bookmarkStart w:id="31" w:name="_Toc318400302"/>
      <w:bookmarkStart w:id="32" w:name="_Toc318401777"/>
      <w:bookmarkStart w:id="33" w:name="_Toc318412998"/>
      <w:bookmarkStart w:id="34" w:name="_Toc31841329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t>CPP</w:t>
      </w:r>
      <w:r w:rsidR="008028DC">
        <w:t xml:space="preserve"> is an electric rate in which a utility charges a higher price for consumption of electricity during peak hours on selected days, referred to as critical peak days or event days</w:t>
      </w:r>
      <w:proofErr w:type="gramStart"/>
      <w:r w:rsidR="008028DC">
        <w:t>.</w:t>
      </w:r>
      <w:r w:rsidR="0009279D">
        <w:t xml:space="preserve">  </w:t>
      </w:r>
      <w:proofErr w:type="gramEnd"/>
      <w:r w:rsidR="008028DC">
        <w:t>PG&amp;E markets their CPP rate as Peak Day Pricing, while SCE markets their CPP rate as</w:t>
      </w:r>
      <w:r w:rsidR="0009279D">
        <w:t> </w:t>
      </w:r>
      <w:r w:rsidR="008028DC">
        <w:t>Summer Advantage Incentive</w:t>
      </w:r>
      <w:proofErr w:type="gramStart"/>
      <w:r w:rsidR="008028DC">
        <w:t xml:space="preserve">.  </w:t>
      </w:r>
      <w:proofErr w:type="gramEnd"/>
      <w:r w:rsidR="008028DC">
        <w:t>Typically, CPP hours coincide with the utility’s peak demand and CPP days are called 5 to 15 times a year when demand is high and supply is short</w:t>
      </w:r>
      <w:proofErr w:type="gramStart"/>
      <w:r w:rsidR="008028DC">
        <w:t xml:space="preserve">.  </w:t>
      </w:r>
      <w:proofErr w:type="gramEnd"/>
      <w:r w:rsidR="008028DC">
        <w:t xml:space="preserve">The </w:t>
      </w:r>
      <w:r w:rsidR="008028DC" w:rsidRPr="00DE0AB2">
        <w:t xml:space="preserve">higher price during </w:t>
      </w:r>
      <w:r w:rsidR="008028DC">
        <w:t xml:space="preserve">peak hours on </w:t>
      </w:r>
      <w:r w:rsidR="008028DC" w:rsidRPr="00DE0AB2">
        <w:t>critical event days</w:t>
      </w:r>
      <w:r w:rsidR="008028DC">
        <w:t xml:space="preserve"> is</w:t>
      </w:r>
      <w:r w:rsidR="008028DC" w:rsidRPr="007A1B78">
        <w:t xml:space="preserve"> </w:t>
      </w:r>
      <w:r w:rsidR="008028DC">
        <w:t>designed to encourage reductions in demand and reflects the fact that electric demand during those hours drives a substantial portion of electric infrastructure costs</w:t>
      </w:r>
      <w:proofErr w:type="gramStart"/>
      <w:r w:rsidR="008028DC">
        <w:t xml:space="preserve">.  </w:t>
      </w:r>
      <w:proofErr w:type="gramEnd"/>
      <w:r w:rsidR="008028DC">
        <w:t>Compared with non-CPP tariffs, the higher CPP prices are typically offset by reductions in energy prices during non-peak hours, reductions in demand charges or</w:t>
      </w:r>
      <w:r w:rsidR="0009279D">
        <w:t> </w:t>
      </w:r>
      <w:r w:rsidR="008028DC">
        <w:t xml:space="preserve">both.  </w:t>
      </w:r>
    </w:p>
    <w:p w:rsidR="008028DC" w:rsidRDefault="008028DC" w:rsidP="008028DC">
      <w:pPr>
        <w:pStyle w:val="BodyParagraph"/>
      </w:pPr>
      <w:r>
        <w:t>Most customers</w:t>
      </w:r>
      <w:r>
        <w:rPr>
          <w:rStyle w:val="FootnoteReference"/>
        </w:rPr>
        <w:footnoteReference w:id="1"/>
      </w:r>
      <w:r>
        <w:t xml:space="preserve"> that faced CPP rates in California in 2014 were large commercial and industrial (C&amp;I) customers that were </w:t>
      </w:r>
      <w:r w:rsidRPr="00856B7A">
        <w:t>defa</w:t>
      </w:r>
      <w:r>
        <w:t>ulted onto CPP from pre-existing TOU</w:t>
      </w:r>
      <w:r w:rsidRPr="00856B7A">
        <w:t xml:space="preserve"> rates that already provided incentives to shift or reduce electricity use during peak periods</w:t>
      </w:r>
      <w:proofErr w:type="gramStart"/>
      <w:r w:rsidRPr="00856B7A">
        <w:t>.</w:t>
      </w:r>
      <w:r>
        <w:t xml:space="preserve">  </w:t>
      </w:r>
      <w:proofErr w:type="gramEnd"/>
      <w:r>
        <w:t>In 2014, all</w:t>
      </w:r>
      <w:r w:rsidR="0009279D">
        <w:t> </w:t>
      </w:r>
      <w:r>
        <w:t>three IOUs also offered CPP rates to small and medium businesses (SMB) on a voluntary basis</w:t>
      </w:r>
      <w:proofErr w:type="gramStart"/>
      <w:r>
        <w:t xml:space="preserve">.  </w:t>
      </w:r>
      <w:proofErr w:type="gramEnd"/>
      <w:r>
        <w:t xml:space="preserve">The customers who have been defaulted to the CPP rate are the </w:t>
      </w:r>
      <w:r w:rsidR="005657BE">
        <w:t xml:space="preserve">primary </w:t>
      </w:r>
      <w:r>
        <w:t>focus of this evaluation</w:t>
      </w:r>
      <w:proofErr w:type="gramStart"/>
      <w:r>
        <w:t xml:space="preserve">.  </w:t>
      </w:r>
      <w:proofErr w:type="gramEnd"/>
      <w:r>
        <w:t>M</w:t>
      </w:r>
      <w:r>
        <w:rPr>
          <w:rFonts w:cs="Arial"/>
        </w:rPr>
        <w:t xml:space="preserve">ost customers </w:t>
      </w:r>
      <w:r>
        <w:t>on CPP rates are provided with the opportunity to hedge against bill volatility by</w:t>
      </w:r>
      <w:r w:rsidR="0009279D">
        <w:t> </w:t>
      </w:r>
      <w:r>
        <w:t>protecting a portion of their load from the higher prices during the peak period on critical event days.</w:t>
      </w:r>
    </w:p>
    <w:p w:rsidR="008028DC" w:rsidRDefault="008028DC" w:rsidP="008028DC">
      <w:pPr>
        <w:pStyle w:val="BodyBeforeBullet"/>
      </w:pPr>
      <w:r>
        <w:t>This evaluation is designed to address several research questions, including:</w:t>
      </w:r>
    </w:p>
    <w:p w:rsidR="008028DC" w:rsidRDefault="008028DC" w:rsidP="008028DC">
      <w:pPr>
        <w:pStyle w:val="Bullets"/>
        <w:tabs>
          <w:tab w:val="num" w:pos="720"/>
        </w:tabs>
        <w:ind w:left="720"/>
      </w:pPr>
      <w:r>
        <w:t xml:space="preserve">What amount of </w:t>
      </w:r>
      <w:r w:rsidRPr="004F7857">
        <w:t xml:space="preserve">demand </w:t>
      </w:r>
      <w:r>
        <w:t xml:space="preserve">did CPP participants reduce at each utility during 2014 events (i.e., what are the ex post load impacts)? </w:t>
      </w:r>
    </w:p>
    <w:p w:rsidR="008028DC" w:rsidRDefault="008028DC" w:rsidP="008028DC">
      <w:pPr>
        <w:pStyle w:val="Bullets"/>
        <w:tabs>
          <w:tab w:val="num" w:pos="720"/>
        </w:tabs>
        <w:ind w:left="720"/>
      </w:pPr>
      <w:r>
        <w:t>Did the estimated demand reductions vary across events and did they vary by temperature conditions?</w:t>
      </w:r>
    </w:p>
    <w:p w:rsidR="008028DC" w:rsidRDefault="008028DC" w:rsidP="008028DC">
      <w:pPr>
        <w:pStyle w:val="Bullets"/>
        <w:tabs>
          <w:tab w:val="num" w:pos="720"/>
        </w:tabs>
        <w:ind w:left="720"/>
      </w:pPr>
      <w:r>
        <w:t xml:space="preserve">How do the number of accounts, load, demand </w:t>
      </w:r>
      <w:proofErr w:type="gramStart"/>
      <w:r>
        <w:t>reductions</w:t>
      </w:r>
      <w:proofErr w:type="gramEnd"/>
      <w:r>
        <w:t xml:space="preserve"> and performance vary across different industry, location and customer size categories?  </w:t>
      </w:r>
    </w:p>
    <w:p w:rsidR="008028DC" w:rsidRDefault="008028DC" w:rsidP="008028DC">
      <w:pPr>
        <w:pStyle w:val="Bullets"/>
        <w:tabs>
          <w:tab w:val="num" w:pos="720"/>
        </w:tabs>
        <w:ind w:left="720"/>
      </w:pPr>
      <w:r>
        <w:t>Do demand reductions vary based on the presence of enabling technology and/or participation in other DR programs?</w:t>
      </w:r>
    </w:p>
    <w:p w:rsidR="008028DC" w:rsidRDefault="008028DC" w:rsidP="008028DC">
      <w:pPr>
        <w:pStyle w:val="Bullets"/>
        <w:tabs>
          <w:tab w:val="num" w:pos="720"/>
        </w:tabs>
        <w:ind w:left="720"/>
      </w:pPr>
      <w:r>
        <w:t xml:space="preserve">Have </w:t>
      </w:r>
      <w:r w:rsidRPr="00E45445">
        <w:t>customer demand reductions grow</w:t>
      </w:r>
      <w:r>
        <w:t>n</w:t>
      </w:r>
      <w:r w:rsidRPr="00E45445">
        <w:t xml:space="preserve">, </w:t>
      </w:r>
      <w:proofErr w:type="gramStart"/>
      <w:r w:rsidRPr="00E45445">
        <w:t>decrease</w:t>
      </w:r>
      <w:r>
        <w:t>d</w:t>
      </w:r>
      <w:proofErr w:type="gramEnd"/>
      <w:r w:rsidRPr="00E45445">
        <w:t xml:space="preserve"> or remain</w:t>
      </w:r>
      <w:r>
        <w:t>ed</w:t>
      </w:r>
      <w:r w:rsidRPr="00E45445">
        <w:t xml:space="preserve"> constant </w:t>
      </w:r>
      <w:r>
        <w:t>across</w:t>
      </w:r>
      <w:r w:rsidR="0009279D">
        <w:t> </w:t>
      </w:r>
      <w:r>
        <w:t>years?</w:t>
      </w:r>
    </w:p>
    <w:p w:rsidR="008028DC" w:rsidRDefault="008028DC" w:rsidP="00307F0C">
      <w:pPr>
        <w:pStyle w:val="Bullets"/>
        <w:keepNext/>
        <w:tabs>
          <w:tab w:val="num" w:pos="720"/>
        </w:tabs>
        <w:ind w:left="720"/>
      </w:pPr>
      <w:r>
        <w:t xml:space="preserve">What amount of demand reduction can CPP rates provide under normal (1-in-2) and extreme (1-in-10) peaking conditions (i.e., what are the </w:t>
      </w:r>
      <w:proofErr w:type="spellStart"/>
      <w:r>
        <w:t>ex ante</w:t>
      </w:r>
      <w:proofErr w:type="spellEnd"/>
      <w:r>
        <w:t xml:space="preserve"> load impacts)? </w:t>
      </w:r>
    </w:p>
    <w:p w:rsidR="008028DC" w:rsidRDefault="008028DC" w:rsidP="008028DC">
      <w:pPr>
        <w:pStyle w:val="BulletLast"/>
        <w:tabs>
          <w:tab w:val="num" w:pos="720"/>
        </w:tabs>
        <w:spacing w:after="360"/>
        <w:ind w:left="720"/>
      </w:pPr>
      <w:r>
        <w:t>How are CPP demand reduction resources forecasted to change in future years</w:t>
      </w:r>
      <w:proofErr w:type="gramStart"/>
      <w:r>
        <w:t xml:space="preserve">?  </w:t>
      </w:r>
      <w:proofErr w:type="gramEnd"/>
      <w:r>
        <w:t>How</w:t>
      </w:r>
      <w:r w:rsidR="0009279D">
        <w:t> </w:t>
      </w:r>
      <w:r>
        <w:t xml:space="preserve">much of the forecasted change is due to changes in program enrollment versus differences in weather between ex post and ex ante weather conditions? </w:t>
      </w:r>
    </w:p>
    <w:p w:rsidR="008028DC" w:rsidRDefault="008028DC" w:rsidP="008028DC">
      <w:pPr>
        <w:pStyle w:val="BodyParagraph"/>
      </w:pPr>
      <w:bookmarkStart w:id="35" w:name="_Toc351453911"/>
      <w:bookmarkStart w:id="36" w:name="_Toc351455313"/>
      <w:bookmarkStart w:id="37" w:name="_Toc351462569"/>
      <w:bookmarkStart w:id="38" w:name="_Toc351469352"/>
      <w:bookmarkEnd w:id="35"/>
      <w:bookmarkEnd w:id="36"/>
      <w:bookmarkEnd w:id="37"/>
      <w:bookmarkEnd w:id="38"/>
      <w:r>
        <w:lastRenderedPageBreak/>
        <w:t xml:space="preserve">Table 1-1 </w:t>
      </w:r>
      <w:r w:rsidRPr="00056D0A">
        <w:t>summarizes</w:t>
      </w:r>
      <w:r>
        <w:t xml:space="preserve"> the 2014 program year </w:t>
      </w:r>
      <w:r w:rsidR="005657BE">
        <w:t xml:space="preserve">default CPP </w:t>
      </w:r>
      <w:r>
        <w:t xml:space="preserve">results for PG&amp;E, </w:t>
      </w:r>
      <w:proofErr w:type="gramStart"/>
      <w:r>
        <w:t>SCE</w:t>
      </w:r>
      <w:proofErr w:type="gramEnd"/>
      <w:r>
        <w:t xml:space="preserve"> and SDG&amp;E and compares them with the 2013 program year impacts.  </w:t>
      </w:r>
    </w:p>
    <w:p w:rsidR="008028DC" w:rsidRDefault="008028DC" w:rsidP="008028DC">
      <w:pPr>
        <w:pStyle w:val="TableFigureCaption"/>
      </w:pPr>
      <w:r>
        <w:t>Table 1-1: Summary of 2013 and 2014</w:t>
      </w:r>
      <w:r w:rsidRPr="00024EF8">
        <w:t xml:space="preserve"> Statewide </w:t>
      </w:r>
      <w:r w:rsidR="005657BE">
        <w:t xml:space="preserve">Default </w:t>
      </w:r>
      <w:r w:rsidRPr="00024EF8">
        <w:t>CPP Impacts</w:t>
      </w:r>
      <w:r w:rsidRPr="00024EF8">
        <w:br/>
        <w:t xml:space="preserve">Average Event </w:t>
      </w:r>
      <w:r w:rsidR="00C00E65">
        <w:t>Hour</w:t>
      </w:r>
    </w:p>
    <w:tbl>
      <w:tblPr>
        <w:tblW w:w="8911" w:type="dxa"/>
        <w:jc w:val="center"/>
        <w:tblInd w:w="93" w:type="dxa"/>
        <w:tblLook w:val="04A0" w:firstRow="1" w:lastRow="0" w:firstColumn="1" w:lastColumn="0" w:noHBand="0" w:noVBand="1"/>
      </w:tblPr>
      <w:tblGrid>
        <w:gridCol w:w="960"/>
        <w:gridCol w:w="721"/>
        <w:gridCol w:w="1259"/>
        <w:gridCol w:w="1439"/>
        <w:gridCol w:w="1428"/>
        <w:gridCol w:w="1184"/>
        <w:gridCol w:w="960"/>
        <w:gridCol w:w="960"/>
      </w:tblGrid>
      <w:tr w:rsidR="008028DC" w:rsidRPr="004D3037" w:rsidTr="00307F0C">
        <w:trPr>
          <w:trHeight w:val="1020"/>
          <w:jc w:val="center"/>
        </w:trPr>
        <w:tc>
          <w:tcPr>
            <w:tcW w:w="960" w:type="dxa"/>
            <w:tcBorders>
              <w:top w:val="single" w:sz="4" w:space="0" w:color="auto"/>
              <w:left w:val="single" w:sz="4" w:space="0" w:color="auto"/>
              <w:bottom w:val="single" w:sz="4" w:space="0" w:color="auto"/>
              <w:right w:val="single" w:sz="4" w:space="0" w:color="FFFFFF"/>
            </w:tcBorders>
            <w:shd w:val="clear" w:color="000000" w:fill="0070D0"/>
            <w:noWrap/>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Utility</w:t>
            </w:r>
          </w:p>
        </w:tc>
        <w:tc>
          <w:tcPr>
            <w:tcW w:w="721"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Year</w:t>
            </w:r>
          </w:p>
        </w:tc>
        <w:tc>
          <w:tcPr>
            <w:tcW w:w="1259"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Number of Events Called</w:t>
            </w:r>
          </w:p>
        </w:tc>
        <w:tc>
          <w:tcPr>
            <w:tcW w:w="1439"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Approximate Customer Count</w:t>
            </w:r>
          </w:p>
        </w:tc>
        <w:tc>
          <w:tcPr>
            <w:tcW w:w="1428"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Temperature (°F)</w:t>
            </w:r>
          </w:p>
        </w:tc>
        <w:tc>
          <w:tcPr>
            <w:tcW w:w="1184"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Reference Load (MW)</w:t>
            </w:r>
          </w:p>
        </w:tc>
        <w:tc>
          <w:tcPr>
            <w:tcW w:w="960" w:type="dxa"/>
            <w:tcBorders>
              <w:top w:val="single" w:sz="4" w:space="0" w:color="auto"/>
              <w:left w:val="nil"/>
              <w:bottom w:val="single" w:sz="4" w:space="0" w:color="auto"/>
              <w:right w:val="single" w:sz="4" w:space="0" w:color="FFFFFF"/>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Load Impact (MW)</w:t>
            </w:r>
          </w:p>
        </w:tc>
        <w:tc>
          <w:tcPr>
            <w:tcW w:w="960" w:type="dxa"/>
            <w:tcBorders>
              <w:top w:val="single" w:sz="4" w:space="0" w:color="auto"/>
              <w:left w:val="nil"/>
              <w:bottom w:val="single" w:sz="4" w:space="0" w:color="auto"/>
              <w:right w:val="single" w:sz="4" w:space="0" w:color="auto"/>
            </w:tcBorders>
            <w:shd w:val="clear" w:color="000000" w:fill="0070D0"/>
            <w:vAlign w:val="center"/>
            <w:hideMark/>
          </w:tcPr>
          <w:p w:rsidR="008028DC" w:rsidRPr="004D3037" w:rsidRDefault="008028DC" w:rsidP="00042853">
            <w:pPr>
              <w:spacing w:after="0" w:line="240" w:lineRule="auto"/>
              <w:jc w:val="center"/>
              <w:rPr>
                <w:rFonts w:ascii="Arial" w:eastAsia="Times New Roman" w:hAnsi="Arial" w:cs="Arial"/>
                <w:b/>
                <w:bCs/>
                <w:color w:val="FFFFFF"/>
                <w:sz w:val="20"/>
                <w:szCs w:val="20"/>
              </w:rPr>
            </w:pPr>
            <w:r w:rsidRPr="004D3037">
              <w:rPr>
                <w:rFonts w:ascii="Arial" w:eastAsia="Times New Roman" w:hAnsi="Arial" w:cs="Arial"/>
                <w:b/>
                <w:bCs/>
                <w:color w:val="FFFFFF"/>
                <w:sz w:val="20"/>
                <w:szCs w:val="20"/>
              </w:rPr>
              <w:t>Percent Impact (%)</w:t>
            </w:r>
          </w:p>
        </w:tc>
      </w:tr>
      <w:tr w:rsidR="008028DC" w:rsidRPr="004D3037" w:rsidTr="00307F0C">
        <w:trPr>
          <w:trHeight w:val="300"/>
          <w:jc w:val="center"/>
        </w:trPr>
        <w:tc>
          <w:tcPr>
            <w:tcW w:w="960" w:type="dxa"/>
            <w:vMerge w:val="restart"/>
            <w:tcBorders>
              <w:top w:val="nil"/>
              <w:left w:val="single" w:sz="4" w:space="0" w:color="auto"/>
              <w:bottom w:val="single" w:sz="4" w:space="0" w:color="auto"/>
              <w:right w:val="single" w:sz="4" w:space="0" w:color="auto"/>
            </w:tcBorders>
            <w:shd w:val="clear" w:color="000000" w:fill="FFFFFF"/>
            <w:vAlign w:val="center"/>
            <w:hideMark/>
          </w:tcPr>
          <w:p w:rsidR="008028DC" w:rsidRPr="004D3037" w:rsidRDefault="008028DC" w:rsidP="00307F0C">
            <w:pPr>
              <w:pStyle w:val="TableText"/>
              <w:rPr>
                <w:rFonts w:eastAsia="Times New Roman"/>
              </w:rPr>
            </w:pPr>
            <w:r w:rsidRPr="004D3037">
              <w:rPr>
                <w:rFonts w:eastAsia="Times New Roman"/>
              </w:rPr>
              <w:t>PG&amp;E</w:t>
            </w: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2013</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1,717</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90.8</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447.5</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38.4</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8.58%</w:t>
            </w:r>
          </w:p>
        </w:tc>
      </w:tr>
      <w:tr w:rsidR="008028DC" w:rsidRPr="004D3037" w:rsidTr="00307F0C">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8028DC" w:rsidRPr="004D3037" w:rsidRDefault="008028DC" w:rsidP="00307F0C">
            <w:pPr>
              <w:pStyle w:val="TableText"/>
              <w:rPr>
                <w:rFonts w:eastAsia="Times New Roman"/>
              </w:rPr>
            </w:pP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2014</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10</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1,815</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88.4</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504.6</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41.0</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8.12%</w:t>
            </w:r>
          </w:p>
        </w:tc>
      </w:tr>
      <w:tr w:rsidR="008028DC" w:rsidRPr="004D3037" w:rsidTr="00307F0C">
        <w:trPr>
          <w:trHeight w:val="300"/>
          <w:jc w:val="center"/>
        </w:trPr>
        <w:tc>
          <w:tcPr>
            <w:tcW w:w="96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8028DC" w:rsidRPr="004D3037" w:rsidRDefault="008028DC" w:rsidP="00307F0C">
            <w:pPr>
              <w:pStyle w:val="TableText"/>
              <w:rPr>
                <w:rFonts w:eastAsia="Times New Roman"/>
              </w:rPr>
            </w:pPr>
            <w:r w:rsidRPr="004D3037">
              <w:rPr>
                <w:rFonts w:eastAsia="Times New Roman"/>
              </w:rPr>
              <w:t>SCE</w:t>
            </w: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2013</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10</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2,495</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87.3</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612.6</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35.5</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5.79%</w:t>
            </w:r>
          </w:p>
        </w:tc>
      </w:tr>
      <w:tr w:rsidR="008028DC" w:rsidRPr="004D3037" w:rsidTr="00307F0C">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8028DC" w:rsidRPr="004D3037" w:rsidRDefault="008028DC" w:rsidP="00307F0C">
            <w:pPr>
              <w:pStyle w:val="TableText"/>
              <w:rPr>
                <w:rFonts w:eastAsia="Times New Roman"/>
              </w:rPr>
            </w:pP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2014</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12</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2,670</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86.7</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594.4</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29.6</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4.98%</w:t>
            </w:r>
          </w:p>
        </w:tc>
      </w:tr>
      <w:tr w:rsidR="008028DC" w:rsidRPr="004D3037" w:rsidTr="00307F0C">
        <w:trPr>
          <w:trHeight w:val="300"/>
          <w:jc w:val="center"/>
        </w:trPr>
        <w:tc>
          <w:tcPr>
            <w:tcW w:w="96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8028DC" w:rsidRPr="004D3037" w:rsidRDefault="008028DC" w:rsidP="00307F0C">
            <w:pPr>
              <w:pStyle w:val="TableText"/>
              <w:rPr>
                <w:rFonts w:eastAsia="Times New Roman"/>
              </w:rPr>
            </w:pPr>
            <w:r w:rsidRPr="004D3037">
              <w:rPr>
                <w:rFonts w:eastAsia="Times New Roman" w:cs="Times New Roman"/>
              </w:rPr>
              <w:t>SDG&amp;E</w:t>
            </w: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2013</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4</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1,095</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84.1</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292.8</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20.2</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6.90%</w:t>
            </w:r>
          </w:p>
        </w:tc>
      </w:tr>
      <w:tr w:rsidR="008028DC" w:rsidRPr="004D3037" w:rsidTr="00307F0C">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8028DC" w:rsidRPr="004D3037" w:rsidRDefault="008028DC" w:rsidP="00307F0C">
            <w:pPr>
              <w:pStyle w:val="TableText"/>
              <w:rPr>
                <w:rFonts w:eastAsia="Times New Roman"/>
              </w:rPr>
            </w:pP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2014</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6</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1,142</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82.7</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290.6</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25.4</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8.76%</w:t>
            </w:r>
          </w:p>
        </w:tc>
      </w:tr>
      <w:tr w:rsidR="008028DC" w:rsidRPr="004D3037" w:rsidTr="00307F0C">
        <w:trPr>
          <w:trHeight w:val="300"/>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Total</w:t>
            </w: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2013</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5,307</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1,352.9</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94.1</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6.95%</w:t>
            </w:r>
          </w:p>
        </w:tc>
      </w:tr>
      <w:tr w:rsidR="008028DC" w:rsidRPr="004D3037" w:rsidTr="00307F0C">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8028DC" w:rsidRPr="004D3037" w:rsidRDefault="008028DC" w:rsidP="00307F0C">
            <w:pPr>
              <w:pStyle w:val="TableText"/>
              <w:rPr>
                <w:rFonts w:eastAsia="Times New Roman"/>
              </w:rPr>
            </w:pPr>
          </w:p>
        </w:tc>
        <w:tc>
          <w:tcPr>
            <w:tcW w:w="721"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2014</w:t>
            </w:r>
          </w:p>
        </w:tc>
        <w:tc>
          <w:tcPr>
            <w:tcW w:w="125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w:t>
            </w:r>
          </w:p>
        </w:tc>
        <w:tc>
          <w:tcPr>
            <w:tcW w:w="1439"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5,627</w:t>
            </w:r>
          </w:p>
        </w:tc>
        <w:tc>
          <w:tcPr>
            <w:tcW w:w="1428"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w:t>
            </w:r>
          </w:p>
        </w:tc>
        <w:tc>
          <w:tcPr>
            <w:tcW w:w="1184"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1,389.6</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96.0</w:t>
            </w:r>
          </w:p>
        </w:tc>
        <w:tc>
          <w:tcPr>
            <w:tcW w:w="960" w:type="dxa"/>
            <w:tcBorders>
              <w:top w:val="nil"/>
              <w:left w:val="nil"/>
              <w:bottom w:val="single" w:sz="4" w:space="0" w:color="auto"/>
              <w:right w:val="single" w:sz="4" w:space="0" w:color="auto"/>
            </w:tcBorders>
            <w:shd w:val="clear" w:color="auto" w:fill="auto"/>
            <w:noWrap/>
            <w:vAlign w:val="center"/>
            <w:hideMark/>
          </w:tcPr>
          <w:p w:rsidR="008028DC" w:rsidRPr="004D3037" w:rsidRDefault="008028DC" w:rsidP="00307F0C">
            <w:pPr>
              <w:pStyle w:val="TableText"/>
              <w:rPr>
                <w:rFonts w:eastAsia="Times New Roman"/>
              </w:rPr>
            </w:pPr>
            <w:r w:rsidRPr="004D3037">
              <w:rPr>
                <w:rFonts w:eastAsia="Times New Roman"/>
              </w:rPr>
              <w:t>6.91%</w:t>
            </w:r>
          </w:p>
        </w:tc>
      </w:tr>
    </w:tbl>
    <w:p w:rsidR="008028DC" w:rsidRDefault="008028DC" w:rsidP="008028DC">
      <w:pPr>
        <w:pStyle w:val="BodyParaAfterTableFigure"/>
      </w:pPr>
      <w:r>
        <w:t>While CPP rates at all three utilities are conceptually similar, any cross-utility comparisons must</w:t>
      </w:r>
      <w:r w:rsidR="00307F0C">
        <w:t> </w:t>
      </w:r>
      <w:r>
        <w:t>be made with caution due to differences in the rates, event patterns, customer mix and</w:t>
      </w:r>
      <w:r w:rsidR="0009279D">
        <w:t> </w:t>
      </w:r>
      <w:r>
        <w:t>penetration of other DR programs prior to implementation of default CPP</w:t>
      </w:r>
      <w:proofErr w:type="gramStart"/>
      <w:r>
        <w:t xml:space="preserve">.  </w:t>
      </w:r>
      <w:proofErr w:type="gramEnd"/>
      <w:r>
        <w:t>For example, PG&amp;E, SCE and SDG&amp;E called 10, 12 and 6 CPP events, respectively</w:t>
      </w:r>
      <w:proofErr w:type="gramStart"/>
      <w:r>
        <w:t xml:space="preserve">.  </w:t>
      </w:r>
      <w:proofErr w:type="gramEnd"/>
      <w:r>
        <w:t>However, there was no</w:t>
      </w:r>
      <w:r w:rsidR="0009279D">
        <w:t> </w:t>
      </w:r>
      <w:r>
        <w:t>single day in 2014 when CPP event prices were in effect at all three utilities because system conditions and weather patterns vary across all three utilities</w:t>
      </w:r>
      <w:proofErr w:type="gramStart"/>
      <w:r>
        <w:t xml:space="preserve">.  </w:t>
      </w:r>
      <w:proofErr w:type="gramEnd"/>
      <w:r>
        <w:t>In addition, SDG&amp;E has a longer</w:t>
      </w:r>
      <w:r w:rsidR="00307F0C">
        <w:t> </w:t>
      </w:r>
      <w:r>
        <w:t>critical peak period</w:t>
      </w:r>
      <w:r w:rsidR="00307F0C">
        <w:rPr>
          <w:rFonts w:cs="Arial"/>
        </w:rPr>
        <w:t>—</w:t>
      </w:r>
      <w:r>
        <w:t xml:space="preserve">11 </w:t>
      </w:r>
      <w:r w:rsidR="00176128">
        <w:t xml:space="preserve">AM </w:t>
      </w:r>
      <w:r>
        <w:t>to 6 PM</w:t>
      </w:r>
      <w:r w:rsidR="00307F0C">
        <w:rPr>
          <w:rFonts w:cs="Arial"/>
        </w:rPr>
        <w:t>—</w:t>
      </w:r>
      <w:r>
        <w:t>than PG&amp;E or SCE and also dispatches CPP on</w:t>
      </w:r>
      <w:r w:rsidR="00307F0C">
        <w:t> </w:t>
      </w:r>
      <w:r>
        <w:t>Saturdays, due to its system load patterns.</w:t>
      </w:r>
    </w:p>
    <w:p w:rsidR="008028DC" w:rsidRDefault="008028DC" w:rsidP="008028DC">
      <w:pPr>
        <w:pStyle w:val="BodyParagraph"/>
      </w:pPr>
      <w:r>
        <w:t>Enrollment of non-residential customers defaulted onto CPP rates was higher in 2014 than in</w:t>
      </w:r>
      <w:r w:rsidR="0009279D">
        <w:t> </w:t>
      </w:r>
      <w:r>
        <w:t>2013 by approximately 6% across PG&amp;E, SCE and SDG&amp;E</w:t>
      </w:r>
      <w:r w:rsidRPr="00024EF8">
        <w:t>.</w:t>
      </w:r>
      <w:r w:rsidRPr="00024EF8">
        <w:rPr>
          <w:rStyle w:val="FootnoteReference"/>
        </w:rPr>
        <w:footnoteReference w:id="2"/>
      </w:r>
      <w:r w:rsidRPr="00024EF8">
        <w:t xml:space="preserve">  </w:t>
      </w:r>
      <w:r>
        <w:t>This change was driven by a larger number of enrolled customers at all three utilities</w:t>
      </w:r>
      <w:proofErr w:type="gramStart"/>
      <w:r>
        <w:t xml:space="preserve">.  </w:t>
      </w:r>
      <w:proofErr w:type="gramEnd"/>
      <w:r>
        <w:t>Only at PG&amp;E is the higher enrollment reflected in the higher overall program loads without DR in place, referred to as reference loads</w:t>
      </w:r>
      <w:proofErr w:type="gramStart"/>
      <w:r>
        <w:t xml:space="preserve">.  </w:t>
      </w:r>
      <w:proofErr w:type="gramEnd"/>
      <w:r>
        <w:t xml:space="preserve">Reference loads remained similar to 2013 at SCE and </w:t>
      </w:r>
      <w:r w:rsidR="005657BE">
        <w:t>SDG&amp;E</w:t>
      </w:r>
      <w:proofErr w:type="gramStart"/>
      <w:r w:rsidR="005657BE">
        <w:t xml:space="preserve">.  </w:t>
      </w:r>
      <w:proofErr w:type="gramEnd"/>
      <w:r w:rsidR="005657BE">
        <w:t>Overall, approximately 5</w:t>
      </w:r>
      <w:r>
        <w:t>,627 customers were enrolled on default CPP for the 2014 summer.</w:t>
      </w:r>
    </w:p>
    <w:p w:rsidR="008028DC" w:rsidRDefault="008028DC" w:rsidP="008028DC">
      <w:pPr>
        <w:pStyle w:val="BodyParagraph"/>
      </w:pPr>
      <w:r>
        <w:t>Between 2013 and 2014</w:t>
      </w:r>
      <w:r w:rsidRPr="00FB4E90">
        <w:t xml:space="preserve">, enrollment in </w:t>
      </w:r>
      <w:r>
        <w:t>opt-in CPP</w:t>
      </w:r>
      <w:r w:rsidRPr="00FB4E90">
        <w:t xml:space="preserve"> rates at P</w:t>
      </w:r>
      <w:r>
        <w:t xml:space="preserve">G&amp;E grew from around </w:t>
      </w:r>
      <w:r w:rsidRPr="00FB4E90">
        <w:t>4,000 service accounts</w:t>
      </w:r>
      <w:r>
        <w:t xml:space="preserve"> to around 7,700</w:t>
      </w:r>
      <w:r w:rsidR="0009279D">
        <w:t>;</w:t>
      </w:r>
      <w:r>
        <w:t xml:space="preserve"> and at SCE enrollment grew from approximately 650</w:t>
      </w:r>
      <w:r w:rsidRPr="00FB4E90">
        <w:t xml:space="preserve"> service </w:t>
      </w:r>
      <w:r>
        <w:t>accounts to approximately 800</w:t>
      </w:r>
      <w:proofErr w:type="gramStart"/>
      <w:r w:rsidRPr="00FB4E90">
        <w:t xml:space="preserve">.  </w:t>
      </w:r>
      <w:proofErr w:type="gramEnd"/>
      <w:r w:rsidRPr="00FB4E90">
        <w:t xml:space="preserve">However, </w:t>
      </w:r>
      <w:r>
        <w:t>the majority of opt-in service</w:t>
      </w:r>
      <w:r w:rsidRPr="00FB4E90">
        <w:t xml:space="preserve"> accoun</w:t>
      </w:r>
      <w:r>
        <w:t xml:space="preserve">ts at PG&amp;E and SCE </w:t>
      </w:r>
      <w:r w:rsidRPr="00FB4E90">
        <w:t>are linked to a single entity</w:t>
      </w:r>
      <w:proofErr w:type="gramStart"/>
      <w:r w:rsidRPr="00FB4E90">
        <w:t xml:space="preserve">.  </w:t>
      </w:r>
      <w:proofErr w:type="gramEnd"/>
      <w:r w:rsidRPr="00FB4E90">
        <w:t>The results are not representative of future demand response expected when SMB customers are defaulted onto CPP.</w:t>
      </w:r>
      <w:r>
        <w:t xml:space="preserve"> </w:t>
      </w:r>
    </w:p>
    <w:p w:rsidR="008028DC" w:rsidRDefault="008028DC" w:rsidP="008028DC">
      <w:pPr>
        <w:pStyle w:val="BodyParagraph"/>
      </w:pPr>
      <w:r>
        <w:lastRenderedPageBreak/>
        <w:t>In November 2013, PG&amp;E engaged in a marketing effort to SMB customers who were due to be</w:t>
      </w:r>
      <w:r w:rsidR="0009279D">
        <w:t> </w:t>
      </w:r>
      <w:r>
        <w:t>defaulted onto PG&amp;E’s CPP tariff in November 2014, to encourage them to enroll early in the</w:t>
      </w:r>
      <w:r w:rsidR="0009279D">
        <w:t> </w:t>
      </w:r>
      <w:r>
        <w:t>CPP tariff on an opt-in b</w:t>
      </w:r>
      <w:r w:rsidR="005657BE">
        <w:t>asis</w:t>
      </w:r>
      <w:proofErr w:type="gramStart"/>
      <w:r w:rsidR="005657BE">
        <w:t xml:space="preserve">.  </w:t>
      </w:r>
      <w:proofErr w:type="gramEnd"/>
      <w:r w:rsidR="005657BE">
        <w:t>This initiative, which this report</w:t>
      </w:r>
      <w:r>
        <w:t xml:space="preserve"> refer</w:t>
      </w:r>
      <w:r w:rsidR="005657BE">
        <w:t>s</w:t>
      </w:r>
      <w:r>
        <w:t xml:space="preserve"> to as the Early Enrollment Pilot (EEP), yielded an average of 4,760 EEP CPP customers participating in the 10 PG&amp;E CPP events in 2014</w:t>
      </w:r>
      <w:proofErr w:type="gramStart"/>
      <w:r>
        <w:t xml:space="preserve">.  </w:t>
      </w:r>
      <w:proofErr w:type="gramEnd"/>
      <w:r>
        <w:t>Results for these customers are also not representative of future demand response expected when SMB customers are defaulted onto CPP, but are used to inform projected impacts.</w:t>
      </w:r>
    </w:p>
    <w:p w:rsidR="008028DC" w:rsidRDefault="008028DC" w:rsidP="008028DC">
      <w:pPr>
        <w:pStyle w:val="BodyParagraph"/>
      </w:pPr>
      <w:r>
        <w:t>Table 1-2</w:t>
      </w:r>
      <w:r w:rsidRPr="005608E9">
        <w:t xml:space="preserve"> summarizes</w:t>
      </w:r>
      <w:r>
        <w:t xml:space="preserve"> PG&amp;E, SCE and SDG&amp;E ex ante load impacts</w:t>
      </w:r>
      <w:r w:rsidRPr="005608E9">
        <w:t xml:space="preserve"> </w:t>
      </w:r>
      <w:r>
        <w:t>for forecast years 2015</w:t>
      </w:r>
      <w:r w:rsidR="00307F0C">
        <w:t> </w:t>
      </w:r>
      <w:r>
        <w:t>and 2025 under 1-in-2 weather conditions</w:t>
      </w:r>
      <w:proofErr w:type="gramStart"/>
      <w:r>
        <w:t xml:space="preserve">.  </w:t>
      </w:r>
      <w:proofErr w:type="gramEnd"/>
      <w:r>
        <w:t xml:space="preserve">Enrollments, and consequently </w:t>
      </w:r>
      <w:r w:rsidR="005657BE">
        <w:t xml:space="preserve">aggregate </w:t>
      </w:r>
      <w:r>
        <w:t>reference load</w:t>
      </w:r>
      <w:r w:rsidR="005657BE">
        <w:t>s</w:t>
      </w:r>
      <w:r>
        <w:t>,</w:t>
      </w:r>
      <w:r w:rsidR="00307F0C">
        <w:t> </w:t>
      </w:r>
      <w:r>
        <w:t>are forecast</w:t>
      </w:r>
      <w:r w:rsidR="005657BE">
        <w:t>ed</w:t>
      </w:r>
      <w:r>
        <w:t xml:space="preserve"> to increase substantially in the next 10 years as default CPP is introduced to</w:t>
      </w:r>
      <w:r w:rsidR="00307F0C">
        <w:t> </w:t>
      </w:r>
      <w:r>
        <w:t xml:space="preserve">small </w:t>
      </w:r>
      <w:r w:rsidR="0009279D">
        <w:t xml:space="preserve">and </w:t>
      </w:r>
      <w:r>
        <w:t>medium C&amp;I customers</w:t>
      </w:r>
      <w:proofErr w:type="gramStart"/>
      <w:r>
        <w:t xml:space="preserve">. </w:t>
      </w:r>
      <w:r w:rsidR="0009279D">
        <w:t xml:space="preserve"> </w:t>
      </w:r>
      <w:proofErr w:type="gramEnd"/>
      <w:r w:rsidRPr="00570588">
        <w:t xml:space="preserve">The magnitude of ex ante impacts from </w:t>
      </w:r>
      <w:r>
        <w:t xml:space="preserve">small and </w:t>
      </w:r>
      <w:r w:rsidRPr="00570588">
        <w:t>medium customers under default dynamic pricing is far less certain than it is for large customers</w:t>
      </w:r>
      <w:proofErr w:type="gramStart"/>
      <w:r w:rsidRPr="00570588">
        <w:t xml:space="preserve">. </w:t>
      </w:r>
      <w:r>
        <w:t xml:space="preserve"> </w:t>
      </w:r>
      <w:proofErr w:type="gramEnd"/>
      <w:r>
        <w:t>Due to</w:t>
      </w:r>
      <w:r w:rsidR="00307F0C">
        <w:t> </w:t>
      </w:r>
      <w:r>
        <w:t>the limited empirical data, small and medium C&amp;I ex ante impact estimates</w:t>
      </w:r>
      <w:r w:rsidR="0009279D">
        <w:t> </w:t>
      </w:r>
      <w:r>
        <w:t>shoul</w:t>
      </w:r>
      <w:r w:rsidR="005657BE">
        <w:t>d be interpreted with caution.</w:t>
      </w:r>
    </w:p>
    <w:p w:rsidR="008028DC" w:rsidRDefault="008028DC" w:rsidP="008028DC">
      <w:pPr>
        <w:pStyle w:val="TableFigureCaption"/>
      </w:pPr>
      <w:r w:rsidRPr="00AC7A7D">
        <w:t>Table 1-2: Summary of 201</w:t>
      </w:r>
      <w:r>
        <w:t>5</w:t>
      </w:r>
      <w:r w:rsidRPr="00AC7A7D">
        <w:t xml:space="preserve"> and 202</w:t>
      </w:r>
      <w:r>
        <w:t>5</w:t>
      </w:r>
      <w:r w:rsidRPr="00AC7A7D">
        <w:t xml:space="preserve"> Ex Ante Load Impacts</w:t>
      </w:r>
      <w:r w:rsidR="002B4013">
        <w:t xml:space="preserve"> (1 to 6 PM</w:t>
      </w:r>
      <w:proofErr w:type="gramStart"/>
      <w:r w:rsidR="002B4013">
        <w:t>)</w:t>
      </w:r>
      <w:proofErr w:type="gramEnd"/>
      <w:r w:rsidRPr="00AC7A7D">
        <w:br/>
        <w:t>1-in-2 Weather Conditions for August System Pe</w:t>
      </w:r>
      <w:r w:rsidR="00C00E65">
        <w:t>ak Day</w:t>
      </w:r>
    </w:p>
    <w:tbl>
      <w:tblPr>
        <w:tblW w:w="9548" w:type="dxa"/>
        <w:jc w:val="center"/>
        <w:tblInd w:w="-665" w:type="dxa"/>
        <w:tblLook w:val="04A0" w:firstRow="1" w:lastRow="0" w:firstColumn="1" w:lastColumn="0" w:noHBand="0" w:noVBand="1"/>
      </w:tblPr>
      <w:tblGrid>
        <w:gridCol w:w="1514"/>
        <w:gridCol w:w="1169"/>
        <w:gridCol w:w="960"/>
        <w:gridCol w:w="1610"/>
        <w:gridCol w:w="1463"/>
        <w:gridCol w:w="1539"/>
        <w:gridCol w:w="1293"/>
      </w:tblGrid>
      <w:tr w:rsidR="008028DC" w:rsidRPr="00946E21" w:rsidTr="00176128">
        <w:trPr>
          <w:trHeight w:val="765"/>
          <w:jc w:val="center"/>
        </w:trPr>
        <w:tc>
          <w:tcPr>
            <w:tcW w:w="1514" w:type="dxa"/>
            <w:tcBorders>
              <w:top w:val="single" w:sz="4" w:space="0" w:color="auto"/>
              <w:left w:val="single" w:sz="4" w:space="0" w:color="auto"/>
              <w:bottom w:val="single" w:sz="4" w:space="0" w:color="auto"/>
              <w:right w:val="single" w:sz="4" w:space="0" w:color="FFFFFF"/>
            </w:tcBorders>
            <w:shd w:val="clear" w:color="000000" w:fill="0070D0"/>
            <w:noWrap/>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Utility</w:t>
            </w:r>
          </w:p>
        </w:tc>
        <w:tc>
          <w:tcPr>
            <w:tcW w:w="1169" w:type="dxa"/>
            <w:tcBorders>
              <w:top w:val="single" w:sz="4" w:space="0" w:color="auto"/>
              <w:left w:val="nil"/>
              <w:bottom w:val="single" w:sz="4" w:space="0" w:color="auto"/>
              <w:right w:val="single" w:sz="4" w:space="0" w:color="FFFFFF"/>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Demand Size</w:t>
            </w:r>
          </w:p>
        </w:tc>
        <w:tc>
          <w:tcPr>
            <w:tcW w:w="960" w:type="dxa"/>
            <w:tcBorders>
              <w:top w:val="single" w:sz="4" w:space="0" w:color="auto"/>
              <w:left w:val="nil"/>
              <w:bottom w:val="single" w:sz="4" w:space="0" w:color="auto"/>
              <w:right w:val="single" w:sz="4" w:space="0" w:color="FFFFFF"/>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Year</w:t>
            </w:r>
          </w:p>
        </w:tc>
        <w:tc>
          <w:tcPr>
            <w:tcW w:w="1610" w:type="dxa"/>
            <w:tcBorders>
              <w:top w:val="single" w:sz="4" w:space="0" w:color="auto"/>
              <w:left w:val="nil"/>
              <w:bottom w:val="single" w:sz="4" w:space="0" w:color="auto"/>
              <w:right w:val="single" w:sz="4" w:space="0" w:color="FFFFFF"/>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Enrollment Forecast</w:t>
            </w:r>
          </w:p>
        </w:tc>
        <w:tc>
          <w:tcPr>
            <w:tcW w:w="1463" w:type="dxa"/>
            <w:tcBorders>
              <w:top w:val="single" w:sz="4" w:space="0" w:color="auto"/>
              <w:left w:val="nil"/>
              <w:bottom w:val="single" w:sz="4" w:space="0" w:color="auto"/>
              <w:right w:val="single" w:sz="4" w:space="0" w:color="FFFFFF"/>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Reference Load (MW)</w:t>
            </w:r>
          </w:p>
        </w:tc>
        <w:tc>
          <w:tcPr>
            <w:tcW w:w="1539" w:type="dxa"/>
            <w:tcBorders>
              <w:top w:val="single" w:sz="4" w:space="0" w:color="auto"/>
              <w:left w:val="nil"/>
              <w:bottom w:val="single" w:sz="4" w:space="0" w:color="auto"/>
              <w:right w:val="single" w:sz="4" w:space="0" w:color="FFFFFF"/>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Load Impact (MW)</w:t>
            </w:r>
          </w:p>
        </w:tc>
        <w:tc>
          <w:tcPr>
            <w:tcW w:w="1293" w:type="dxa"/>
            <w:tcBorders>
              <w:top w:val="single" w:sz="4" w:space="0" w:color="auto"/>
              <w:left w:val="nil"/>
              <w:bottom w:val="single" w:sz="4" w:space="0" w:color="auto"/>
              <w:right w:val="single" w:sz="4" w:space="0" w:color="auto"/>
            </w:tcBorders>
            <w:shd w:val="clear" w:color="000000" w:fill="0070D0"/>
            <w:vAlign w:val="center"/>
            <w:hideMark/>
          </w:tcPr>
          <w:p w:rsidR="008028DC" w:rsidRPr="00946E21" w:rsidRDefault="008028DC" w:rsidP="00946E21">
            <w:pPr>
              <w:pStyle w:val="TableHeader"/>
              <w:spacing w:before="60" w:after="60"/>
              <w:rPr>
                <w:rFonts w:eastAsia="Times New Roman" w:cs="Arial"/>
                <w:szCs w:val="20"/>
              </w:rPr>
            </w:pPr>
            <w:r w:rsidRPr="00946E21">
              <w:rPr>
                <w:rFonts w:eastAsia="Times New Roman" w:cs="Arial"/>
                <w:szCs w:val="20"/>
              </w:rPr>
              <w:t>Percent Impact (%)</w:t>
            </w:r>
          </w:p>
        </w:tc>
      </w:tr>
      <w:tr w:rsidR="00D22E6C" w:rsidRPr="00946E21" w:rsidTr="00176128">
        <w:trPr>
          <w:trHeight w:val="300"/>
          <w:jc w:val="center"/>
        </w:trPr>
        <w:tc>
          <w:tcPr>
            <w:tcW w:w="1514" w:type="dxa"/>
            <w:vMerge w:val="restart"/>
            <w:tcBorders>
              <w:top w:val="nil"/>
              <w:left w:val="single" w:sz="4" w:space="0" w:color="auto"/>
              <w:bottom w:val="single" w:sz="4" w:space="0" w:color="000000"/>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PG&amp;E</w:t>
            </w: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Large</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2,092</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676.9</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51.0</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7.53%</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2,629</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847.7</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65.0</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7.67%</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Medium</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20,267</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514.1</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6.1</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1.19%</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39,677</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1,175.0</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13.9</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1.19%</w:t>
            </w:r>
          </w:p>
        </w:tc>
      </w:tr>
      <w:tr w:rsidR="00D22E6C" w:rsidRPr="00946E21" w:rsidTr="00176128">
        <w:trPr>
          <w:trHeight w:val="300"/>
          <w:jc w:val="center"/>
        </w:trPr>
        <w:tc>
          <w:tcPr>
            <w:tcW w:w="1514" w:type="dxa"/>
            <w:vMerge w:val="restart"/>
            <w:tcBorders>
              <w:top w:val="nil"/>
              <w:left w:val="single" w:sz="4" w:space="0" w:color="auto"/>
              <w:bottom w:val="single" w:sz="4" w:space="0" w:color="000000"/>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SCE</w:t>
            </w: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Large</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2,560</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602.1</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21.3</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3.53%</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3,424</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805.2</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28.5</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3.53%</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Medium</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17,375</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546.9</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6.5</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1.19%</w:t>
            </w:r>
          </w:p>
        </w:tc>
      </w:tr>
      <w:tr w:rsidR="00D22E6C" w:rsidRPr="00946E21" w:rsidTr="00176128">
        <w:trPr>
          <w:trHeight w:val="300"/>
          <w:jc w:val="center"/>
        </w:trPr>
        <w:tc>
          <w:tcPr>
            <w:tcW w:w="1514" w:type="dxa"/>
            <w:vMerge w:val="restart"/>
            <w:tcBorders>
              <w:top w:val="nil"/>
              <w:left w:val="single" w:sz="4" w:space="0" w:color="auto"/>
              <w:bottom w:val="single" w:sz="4" w:space="0" w:color="000000"/>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SDG&amp;E</w:t>
            </w: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Large</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1,253</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305.2</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24.3</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7.95%</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1,405</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341.7</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26.9</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7.87%</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Medium</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w:t>
            </w:r>
          </w:p>
        </w:tc>
      </w:tr>
      <w:tr w:rsidR="00D22E6C" w:rsidRPr="00946E21" w:rsidTr="00176128">
        <w:trPr>
          <w:trHeight w:val="300"/>
          <w:jc w:val="center"/>
        </w:trPr>
        <w:tc>
          <w:tcPr>
            <w:tcW w:w="1514" w:type="dxa"/>
            <w:vMerge/>
            <w:tcBorders>
              <w:top w:val="nil"/>
              <w:left w:val="single" w:sz="4" w:space="0" w:color="auto"/>
              <w:bottom w:val="single" w:sz="4" w:space="0" w:color="000000"/>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8,577</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459.2</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10.3</w:t>
            </w:r>
          </w:p>
        </w:tc>
        <w:tc>
          <w:tcPr>
            <w:tcW w:w="129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2.20%</w:t>
            </w:r>
          </w:p>
        </w:tc>
      </w:tr>
      <w:tr w:rsidR="00D22E6C" w:rsidRPr="00946E21" w:rsidTr="00946E21">
        <w:trPr>
          <w:trHeight w:val="305"/>
          <w:jc w:val="center"/>
        </w:trPr>
        <w:tc>
          <w:tcPr>
            <w:tcW w:w="151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Total</w:t>
            </w: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Large</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5,905</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1,584.2</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96.6</w:t>
            </w:r>
          </w:p>
        </w:tc>
        <w:tc>
          <w:tcPr>
            <w:tcW w:w="1293" w:type="dxa"/>
            <w:tcBorders>
              <w:top w:val="nil"/>
              <w:left w:val="nil"/>
              <w:bottom w:val="single" w:sz="4" w:space="0" w:color="auto"/>
              <w:right w:val="single" w:sz="4" w:space="0" w:color="auto"/>
            </w:tcBorders>
            <w:shd w:val="clear" w:color="000000" w:fill="FFFFFF"/>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6.09%</w:t>
            </w:r>
          </w:p>
        </w:tc>
      </w:tr>
      <w:tr w:rsidR="00D22E6C" w:rsidRPr="00946E21" w:rsidTr="00946E21">
        <w:trPr>
          <w:trHeight w:val="179"/>
          <w:jc w:val="center"/>
        </w:trPr>
        <w:tc>
          <w:tcPr>
            <w:tcW w:w="1514"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7,458</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1,994.6</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120.4</w:t>
            </w:r>
          </w:p>
        </w:tc>
        <w:tc>
          <w:tcPr>
            <w:tcW w:w="1293" w:type="dxa"/>
            <w:tcBorders>
              <w:top w:val="nil"/>
              <w:left w:val="nil"/>
              <w:bottom w:val="single" w:sz="4" w:space="0" w:color="auto"/>
              <w:right w:val="single" w:sz="4" w:space="0" w:color="auto"/>
            </w:tcBorders>
            <w:shd w:val="clear" w:color="000000" w:fill="FFFFFF"/>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6.04%</w:t>
            </w:r>
          </w:p>
        </w:tc>
      </w:tr>
      <w:tr w:rsidR="00D22E6C" w:rsidRPr="00946E21" w:rsidTr="00946E21">
        <w:trPr>
          <w:trHeight w:val="300"/>
          <w:jc w:val="center"/>
        </w:trPr>
        <w:tc>
          <w:tcPr>
            <w:tcW w:w="1514"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val="restart"/>
            <w:tcBorders>
              <w:top w:val="nil"/>
              <w:left w:val="single" w:sz="4" w:space="0" w:color="auto"/>
              <w:bottom w:val="single" w:sz="4" w:space="0" w:color="auto"/>
              <w:right w:val="single" w:sz="4" w:space="0" w:color="auto"/>
            </w:tcBorders>
            <w:shd w:val="clear" w:color="000000" w:fill="FFFFFF"/>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Medium</w:t>
            </w: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2015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20,267</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514.1</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6.1</w:t>
            </w:r>
          </w:p>
        </w:tc>
        <w:tc>
          <w:tcPr>
            <w:tcW w:w="1293" w:type="dxa"/>
            <w:tcBorders>
              <w:top w:val="nil"/>
              <w:left w:val="nil"/>
              <w:bottom w:val="single" w:sz="4" w:space="0" w:color="auto"/>
              <w:right w:val="single" w:sz="4" w:space="0" w:color="auto"/>
            </w:tcBorders>
            <w:shd w:val="clear" w:color="000000" w:fill="FFFFFF"/>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1.19%</w:t>
            </w:r>
          </w:p>
        </w:tc>
      </w:tr>
      <w:tr w:rsidR="00D22E6C" w:rsidRPr="00946E21" w:rsidTr="00946E21">
        <w:trPr>
          <w:trHeight w:val="300"/>
          <w:jc w:val="center"/>
        </w:trPr>
        <w:tc>
          <w:tcPr>
            <w:tcW w:w="1514"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1169" w:type="dxa"/>
            <w:vMerge/>
            <w:tcBorders>
              <w:top w:val="nil"/>
              <w:left w:val="single" w:sz="4" w:space="0" w:color="auto"/>
              <w:bottom w:val="single" w:sz="4" w:space="0" w:color="auto"/>
              <w:right w:val="single" w:sz="4" w:space="0" w:color="auto"/>
            </w:tcBorders>
            <w:vAlign w:val="center"/>
            <w:hideMark/>
          </w:tcPr>
          <w:p w:rsidR="00D22E6C" w:rsidRPr="00946E21" w:rsidRDefault="00D22E6C" w:rsidP="00946E21">
            <w:pPr>
              <w:pStyle w:val="TableText"/>
              <w:contextualSpacing/>
              <w:rPr>
                <w:rFonts w:eastAsia="Times New Roman" w:cs="Arial"/>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22E6C" w:rsidRPr="00946E21" w:rsidRDefault="00D22E6C" w:rsidP="00946E21">
            <w:pPr>
              <w:pStyle w:val="TableText"/>
              <w:contextualSpacing/>
              <w:rPr>
                <w:rFonts w:eastAsia="Times New Roman" w:cs="Arial"/>
                <w:szCs w:val="20"/>
              </w:rPr>
            </w:pPr>
            <w:r w:rsidRPr="00946E21">
              <w:rPr>
                <w:rFonts w:eastAsia="Times New Roman" w:cs="Arial"/>
                <w:szCs w:val="20"/>
              </w:rPr>
              <w:t>2025</w:t>
            </w:r>
          </w:p>
        </w:tc>
        <w:tc>
          <w:tcPr>
            <w:tcW w:w="1610"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65,629</w:t>
            </w:r>
          </w:p>
        </w:tc>
        <w:tc>
          <w:tcPr>
            <w:tcW w:w="1463"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2,181.2</w:t>
            </w:r>
          </w:p>
        </w:tc>
        <w:tc>
          <w:tcPr>
            <w:tcW w:w="1539" w:type="dxa"/>
            <w:tcBorders>
              <w:top w:val="nil"/>
              <w:left w:val="nil"/>
              <w:bottom w:val="single" w:sz="4" w:space="0" w:color="auto"/>
              <w:right w:val="single" w:sz="4" w:space="0" w:color="auto"/>
            </w:tcBorders>
            <w:shd w:val="clear" w:color="auto" w:fill="auto"/>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30.7</w:t>
            </w:r>
          </w:p>
        </w:tc>
        <w:tc>
          <w:tcPr>
            <w:tcW w:w="1293" w:type="dxa"/>
            <w:tcBorders>
              <w:top w:val="nil"/>
              <w:left w:val="nil"/>
              <w:bottom w:val="single" w:sz="4" w:space="0" w:color="auto"/>
              <w:right w:val="single" w:sz="4" w:space="0" w:color="auto"/>
            </w:tcBorders>
            <w:shd w:val="clear" w:color="000000" w:fill="FFFFFF"/>
            <w:noWrap/>
            <w:vAlign w:val="center"/>
            <w:hideMark/>
          </w:tcPr>
          <w:p w:rsidR="00D22E6C" w:rsidRPr="00D22E6C" w:rsidRDefault="00D22E6C" w:rsidP="00D22E6C">
            <w:pPr>
              <w:spacing w:before="60" w:after="60"/>
              <w:jc w:val="center"/>
              <w:rPr>
                <w:rFonts w:ascii="Arial" w:hAnsi="Arial" w:cs="Arial"/>
                <w:color w:val="000000"/>
                <w:sz w:val="20"/>
                <w:szCs w:val="20"/>
              </w:rPr>
            </w:pPr>
            <w:r w:rsidRPr="00D22E6C">
              <w:rPr>
                <w:rFonts w:ascii="Arial" w:hAnsi="Arial" w:cs="Arial"/>
                <w:color w:val="000000"/>
                <w:sz w:val="20"/>
                <w:szCs w:val="20"/>
              </w:rPr>
              <w:t>1.41%</w:t>
            </w:r>
          </w:p>
        </w:tc>
      </w:tr>
    </w:tbl>
    <w:p w:rsidR="008028DC" w:rsidRDefault="008028DC" w:rsidP="008028DC">
      <w:pPr>
        <w:pStyle w:val="BodyBeforeBullet"/>
        <w:spacing w:before="360"/>
      </w:pPr>
      <w:r>
        <w:lastRenderedPageBreak/>
        <w:t>Key findings for PG&amp;E include the following:</w:t>
      </w:r>
    </w:p>
    <w:p w:rsidR="008028DC" w:rsidRPr="00176128" w:rsidRDefault="008028DC" w:rsidP="008028DC">
      <w:pPr>
        <w:pStyle w:val="Bullets"/>
        <w:tabs>
          <w:tab w:val="num" w:pos="720"/>
        </w:tabs>
        <w:ind w:left="720"/>
        <w:rPr>
          <w:b/>
        </w:rPr>
      </w:pPr>
      <w:r w:rsidRPr="00176128">
        <w:rPr>
          <w:b/>
        </w:rPr>
        <w:t xml:space="preserve">In aggregate, participants reduced demand by 8.1% across the 2 to 6 PM event window for the average event day, delivering 41 MW of demand reduction. </w:t>
      </w:r>
    </w:p>
    <w:p w:rsidR="008028DC" w:rsidRPr="002B693B" w:rsidRDefault="008028DC" w:rsidP="008028DC">
      <w:pPr>
        <w:pStyle w:val="Bullets"/>
        <w:tabs>
          <w:tab w:val="num" w:pos="720"/>
        </w:tabs>
        <w:ind w:left="720"/>
      </w:pPr>
      <w:r w:rsidRPr="00176128">
        <w:rPr>
          <w:b/>
        </w:rPr>
        <w:t>The differences between individual 2014 event day results and average event day</w:t>
      </w:r>
      <w:r w:rsidR="0009279D">
        <w:rPr>
          <w:b/>
        </w:rPr>
        <w:t> </w:t>
      </w:r>
      <w:r w:rsidRPr="00176128">
        <w:rPr>
          <w:b/>
        </w:rPr>
        <w:t>results are not statistically significant</w:t>
      </w:r>
      <w:proofErr w:type="gramStart"/>
      <w:r w:rsidRPr="00176128">
        <w:rPr>
          <w:b/>
        </w:rPr>
        <w:t>.</w:t>
      </w:r>
      <w:r w:rsidRPr="002B693B">
        <w:t xml:space="preserve">  </w:t>
      </w:r>
      <w:proofErr w:type="gramEnd"/>
      <w:r w:rsidRPr="002B693B">
        <w:t xml:space="preserve">Estimated </w:t>
      </w:r>
      <w:r>
        <w:t>demand reductions vary from 29.0 MW to 51.3</w:t>
      </w:r>
      <w:r w:rsidRPr="002B693B">
        <w:t xml:space="preserve"> MW for individual events</w:t>
      </w:r>
      <w:proofErr w:type="gramStart"/>
      <w:r w:rsidRPr="002B693B">
        <w:t xml:space="preserve">.  </w:t>
      </w:r>
      <w:proofErr w:type="gramEnd"/>
      <w:r w:rsidRPr="002B693B">
        <w:t>On a percentage basis, demand r</w:t>
      </w:r>
      <w:r>
        <w:t>eduction estimates vary from 6.0% to 10.1</w:t>
      </w:r>
      <w:r w:rsidRPr="002B693B">
        <w:t>%</w:t>
      </w:r>
      <w:proofErr w:type="gramStart"/>
      <w:r w:rsidRPr="002B693B">
        <w:t xml:space="preserve">.  </w:t>
      </w:r>
      <w:proofErr w:type="gramEnd"/>
      <w:r w:rsidRPr="002B693B">
        <w:t>The confidence bands for individual event days are</w:t>
      </w:r>
      <w:r w:rsidR="0009279D">
        <w:t> </w:t>
      </w:r>
      <w:r w:rsidR="00C00E65">
        <w:t xml:space="preserve">relatively </w:t>
      </w:r>
      <w:r w:rsidRPr="002B693B">
        <w:t>wide and reflect the challenge of detecting small percentage changes in demand from typical load variation</w:t>
      </w:r>
      <w:proofErr w:type="gramStart"/>
      <w:r w:rsidRPr="002B693B">
        <w:t xml:space="preserve">.  </w:t>
      </w:r>
      <w:proofErr w:type="gramEnd"/>
      <w:r w:rsidRPr="002B693B">
        <w:t xml:space="preserve">While day-to-day performance can vary, much of the variation across days is due to statistical uncertainty.  </w:t>
      </w:r>
    </w:p>
    <w:p w:rsidR="008028DC" w:rsidRPr="002B693B" w:rsidRDefault="008028DC" w:rsidP="008028DC">
      <w:pPr>
        <w:pStyle w:val="Bullets"/>
        <w:tabs>
          <w:tab w:val="num" w:pos="720"/>
        </w:tabs>
        <w:ind w:left="720"/>
      </w:pPr>
      <w:r w:rsidRPr="00176128">
        <w:rPr>
          <w:b/>
        </w:rPr>
        <w:t xml:space="preserve">Demand reductions </w:t>
      </w:r>
      <w:r w:rsidR="007A31F4">
        <w:rPr>
          <w:b/>
        </w:rPr>
        <w:t>we</w:t>
      </w:r>
      <w:r w:rsidRPr="00176128">
        <w:rPr>
          <w:b/>
        </w:rPr>
        <w:t>re concentrated in specific industry segments – Manufacturing, Wholesale, Transport &amp; Other Utilities, and Agriculture</w:t>
      </w:r>
      <w:proofErr w:type="gramStart"/>
      <w:r w:rsidRPr="00176128">
        <w:rPr>
          <w:b/>
        </w:rPr>
        <w:t>.</w:t>
      </w:r>
      <w:r w:rsidRPr="002B693B">
        <w:t xml:space="preserve">  </w:t>
      </w:r>
      <w:proofErr w:type="gramEnd"/>
      <w:r w:rsidRPr="002B693B">
        <w:t xml:space="preserve">For </w:t>
      </w:r>
      <w:r>
        <w:t>PG&amp;E, these customers make up 45% of program enrollment, 44% of program load and</w:t>
      </w:r>
      <w:r w:rsidRPr="002B693B">
        <w:t xml:space="preserve"> 75% of the estimated demand reductions</w:t>
      </w:r>
      <w:proofErr w:type="gramStart"/>
      <w:r w:rsidRPr="002B693B">
        <w:t xml:space="preserve">.  </w:t>
      </w:r>
      <w:proofErr w:type="gramEnd"/>
      <w:r w:rsidRPr="002B693B">
        <w:t>Manufacturing, Wholesale &amp; Transport, and Agriculture customers reduce</w:t>
      </w:r>
      <w:r w:rsidR="007A31F4">
        <w:t>d</w:t>
      </w:r>
      <w:r w:rsidRPr="002B693B">
        <w:t xml:space="preserve"> a larger share of their demand than the average CPP custome</w:t>
      </w:r>
      <w:r>
        <w:t xml:space="preserve">r, delivering reductions of 13.4%, </w:t>
      </w:r>
      <w:proofErr w:type="gramStart"/>
      <w:r>
        <w:t>20.4%</w:t>
      </w:r>
      <w:proofErr w:type="gramEnd"/>
      <w:r>
        <w:t xml:space="preserve"> and 9.5</w:t>
      </w:r>
      <w:r w:rsidRPr="002B693B">
        <w:t xml:space="preserve">%, respectively. </w:t>
      </w:r>
    </w:p>
    <w:p w:rsidR="008028DC" w:rsidRPr="00316083" w:rsidRDefault="008028DC" w:rsidP="008028DC">
      <w:pPr>
        <w:pStyle w:val="Bullets"/>
        <w:tabs>
          <w:tab w:val="num" w:pos="720"/>
        </w:tabs>
        <w:ind w:left="720"/>
      </w:pPr>
      <w:r w:rsidRPr="00176128">
        <w:rPr>
          <w:b/>
        </w:rPr>
        <w:t>A large share of CPP customers and program load are in the Greater Bay Area, but</w:t>
      </w:r>
      <w:r w:rsidR="007A31F4">
        <w:rPr>
          <w:b/>
        </w:rPr>
        <w:t> </w:t>
      </w:r>
      <w:r w:rsidRPr="00176128">
        <w:rPr>
          <w:b/>
        </w:rPr>
        <w:t>the majority of demand reductions are delivered by customers in the Central Valley</w:t>
      </w:r>
      <w:proofErr w:type="gramStart"/>
      <w:r w:rsidRPr="00176128">
        <w:rPr>
          <w:b/>
        </w:rPr>
        <w:t>.</w:t>
      </w:r>
      <w:r w:rsidRPr="00316083">
        <w:t xml:space="preserve">  </w:t>
      </w:r>
      <w:proofErr w:type="gramEnd"/>
      <w:r w:rsidRPr="00316083">
        <w:t>This pattern reflects differences in the industry mix between regions</w:t>
      </w:r>
      <w:proofErr w:type="gramStart"/>
      <w:r w:rsidRPr="00316083">
        <w:t xml:space="preserve">.  </w:t>
      </w:r>
      <w:proofErr w:type="gramEnd"/>
      <w:r w:rsidRPr="00316083">
        <w:t xml:space="preserve">The </w:t>
      </w:r>
      <w:r>
        <w:t>Greater Bay Area accounts for 45% of CPP customers, 51</w:t>
      </w:r>
      <w:r w:rsidRPr="00316083">
        <w:t>% of program load and 25% of estimated demand reductions</w:t>
      </w:r>
      <w:proofErr w:type="gramStart"/>
      <w:r w:rsidRPr="00316083">
        <w:t xml:space="preserve">.  </w:t>
      </w:r>
      <w:proofErr w:type="gramEnd"/>
      <w:r w:rsidRPr="00316083">
        <w:t>The regions in the Central Valley</w:t>
      </w:r>
      <w:r w:rsidR="007A31F4">
        <w:t>—</w:t>
      </w:r>
      <w:r w:rsidRPr="00316083">
        <w:t>Greater Fresno, Stockton, Kern and</w:t>
      </w:r>
      <w:r>
        <w:t xml:space="preserve"> Othe</w:t>
      </w:r>
      <w:r w:rsidR="007A31F4">
        <w:t>r—</w:t>
      </w:r>
      <w:r>
        <w:t>combined account for 48% of default CPP customers, 43% of program load and 69</w:t>
      </w:r>
      <w:r w:rsidRPr="00316083">
        <w:t>% of estimated demand reductions.</w:t>
      </w:r>
    </w:p>
    <w:p w:rsidR="008028DC" w:rsidRPr="00316083" w:rsidRDefault="00C00E65" w:rsidP="008028DC">
      <w:pPr>
        <w:pStyle w:val="Bullets"/>
        <w:tabs>
          <w:tab w:val="num" w:pos="720"/>
        </w:tabs>
        <w:ind w:left="720"/>
        <w:rPr>
          <w:color w:val="1F497D"/>
        </w:rPr>
      </w:pPr>
      <w:r>
        <w:rPr>
          <w:b/>
          <w:iCs/>
        </w:rPr>
        <w:t>1-in-2 August e</w:t>
      </w:r>
      <w:r w:rsidR="008028DC" w:rsidRPr="00176128">
        <w:rPr>
          <w:b/>
          <w:iCs/>
        </w:rPr>
        <w:t xml:space="preserve">x ante load impacts for large customers </w:t>
      </w:r>
      <w:proofErr w:type="gramStart"/>
      <w:r w:rsidR="008028DC" w:rsidRPr="00176128">
        <w:rPr>
          <w:b/>
          <w:iCs/>
        </w:rPr>
        <w:t>are</w:t>
      </w:r>
      <w:proofErr w:type="gramEnd"/>
      <w:r w:rsidR="008028DC" w:rsidRPr="00176128">
        <w:rPr>
          <w:b/>
          <w:iCs/>
        </w:rPr>
        <w:t xml:space="preserve"> expected to grow from 51 MW in</w:t>
      </w:r>
      <w:r w:rsidR="007A31F4">
        <w:rPr>
          <w:b/>
          <w:iCs/>
        </w:rPr>
        <w:t> </w:t>
      </w:r>
      <w:r w:rsidR="008028DC" w:rsidRPr="00176128">
        <w:rPr>
          <w:b/>
          <w:iCs/>
        </w:rPr>
        <w:t>2015 to 65 MW in 2025</w:t>
      </w:r>
      <w:r w:rsidR="007A31F4">
        <w:rPr>
          <w:i/>
          <w:iCs/>
        </w:rPr>
        <w:t>.</w:t>
      </w:r>
      <w:r w:rsidR="008028DC" w:rsidRPr="00316083">
        <w:rPr>
          <w:i/>
          <w:iCs/>
        </w:rPr>
        <w:t xml:space="preserve"> </w:t>
      </w:r>
      <w:r w:rsidR="007A31F4">
        <w:rPr>
          <w:iCs/>
        </w:rPr>
        <w:t>This growth is expected partly</w:t>
      </w:r>
      <w:r w:rsidR="008028DC" w:rsidRPr="00316083">
        <w:rPr>
          <w:iCs/>
        </w:rPr>
        <w:t xml:space="preserve"> because PG&amp;E expects additional large customers to default onto CPP</w:t>
      </w:r>
      <w:r w:rsidR="008028DC" w:rsidRPr="00316083">
        <w:t xml:space="preserve">. </w:t>
      </w:r>
    </w:p>
    <w:p w:rsidR="008028DC" w:rsidRPr="00210C63" w:rsidRDefault="008028DC" w:rsidP="008028DC">
      <w:pPr>
        <w:pStyle w:val="BulletLast"/>
        <w:tabs>
          <w:tab w:val="num" w:pos="720"/>
        </w:tabs>
        <w:ind w:left="720"/>
        <w:rPr>
          <w:color w:val="1F497D"/>
        </w:rPr>
      </w:pPr>
      <w:r w:rsidRPr="00176128">
        <w:rPr>
          <w:b/>
          <w:iCs/>
        </w:rPr>
        <w:t>Default CPP load impacts for small and medium C&amp;I customers are highly uncertain</w:t>
      </w:r>
      <w:proofErr w:type="gramStart"/>
      <w:r w:rsidRPr="00176128">
        <w:rPr>
          <w:b/>
          <w:iCs/>
        </w:rPr>
        <w:t xml:space="preserve">.  </w:t>
      </w:r>
      <w:proofErr w:type="gramEnd"/>
      <w:r w:rsidRPr="00210C63">
        <w:t>The</w:t>
      </w:r>
      <w:r>
        <w:t xml:space="preserve"> </w:t>
      </w:r>
      <w:r w:rsidRPr="00210C63">
        <w:t xml:space="preserve">estimate developed by </w:t>
      </w:r>
      <w:r>
        <w:t>assuming a modest percentage impact informed</w:t>
      </w:r>
      <w:r w:rsidR="007A31F4">
        <w:t> </w:t>
      </w:r>
      <w:r>
        <w:t xml:space="preserve">by PG&amp;E’s early enrollment pilot (EEP) assumes </w:t>
      </w:r>
      <w:r w:rsidRPr="00210C63">
        <w:t>th</w:t>
      </w:r>
      <w:r>
        <w:t>ey will deliver approximately 23</w:t>
      </w:r>
      <w:r w:rsidRPr="00210C63">
        <w:t xml:space="preserve"> MW </w:t>
      </w:r>
      <w:r>
        <w:t xml:space="preserve">in </w:t>
      </w:r>
      <w:r w:rsidRPr="00210C63">
        <w:t>201</w:t>
      </w:r>
      <w:r>
        <w:t>7</w:t>
      </w:r>
      <w:r w:rsidRPr="00210C63">
        <w:t>.</w:t>
      </w:r>
    </w:p>
    <w:p w:rsidR="008028DC" w:rsidRPr="00210C63" w:rsidRDefault="008028DC" w:rsidP="008028DC">
      <w:pPr>
        <w:pStyle w:val="BodyBeforeBullet"/>
        <w:keepNext w:val="0"/>
      </w:pPr>
      <w:r w:rsidRPr="00210C63">
        <w:t>Key findings for SCE include the following:</w:t>
      </w:r>
    </w:p>
    <w:p w:rsidR="008028DC" w:rsidRPr="00176128" w:rsidRDefault="008028DC" w:rsidP="008028DC">
      <w:pPr>
        <w:pStyle w:val="Bullets"/>
        <w:tabs>
          <w:tab w:val="num" w:pos="720"/>
        </w:tabs>
        <w:ind w:left="720"/>
        <w:rPr>
          <w:b/>
        </w:rPr>
      </w:pPr>
      <w:r w:rsidRPr="00176128">
        <w:rPr>
          <w:b/>
        </w:rPr>
        <w:t xml:space="preserve">In aggregate, participants reduced demand by 5.0% across the 2 to 6 PM event window for the average event day, delivering 29.6 MW of demand reduction. </w:t>
      </w:r>
    </w:p>
    <w:p w:rsidR="008028DC" w:rsidRPr="00821413" w:rsidRDefault="008028DC" w:rsidP="008028DC">
      <w:pPr>
        <w:pStyle w:val="Bullets"/>
        <w:tabs>
          <w:tab w:val="num" w:pos="720"/>
        </w:tabs>
        <w:ind w:left="720"/>
      </w:pPr>
      <w:r w:rsidRPr="00176128">
        <w:rPr>
          <w:b/>
        </w:rPr>
        <w:t>The differences between individual event day results and average event day results are statistically significant for only 1 of 12 event days</w:t>
      </w:r>
      <w:proofErr w:type="gramStart"/>
      <w:r w:rsidRPr="00176128">
        <w:rPr>
          <w:b/>
        </w:rPr>
        <w:t xml:space="preserve">.  </w:t>
      </w:r>
      <w:proofErr w:type="gramEnd"/>
      <w:r w:rsidRPr="00821413">
        <w:t xml:space="preserve">Estimated </w:t>
      </w:r>
      <w:r>
        <w:t>demand reductions vary from 20.6 MW to 38.4</w:t>
      </w:r>
      <w:r w:rsidRPr="00821413">
        <w:t xml:space="preserve"> MW for individual events</w:t>
      </w:r>
      <w:proofErr w:type="gramStart"/>
      <w:r w:rsidRPr="00821413">
        <w:t xml:space="preserve">.  </w:t>
      </w:r>
      <w:proofErr w:type="gramEnd"/>
      <w:r w:rsidRPr="00821413">
        <w:t>On a percentage basis, demand r</w:t>
      </w:r>
      <w:r>
        <w:t>eduction estimates vary from 3.4% to 6.5</w:t>
      </w:r>
      <w:r w:rsidRPr="00821413">
        <w:t>%</w:t>
      </w:r>
      <w:proofErr w:type="gramStart"/>
      <w:r w:rsidRPr="00821413">
        <w:t xml:space="preserve">.  </w:t>
      </w:r>
      <w:proofErr w:type="gramEnd"/>
      <w:r w:rsidRPr="00821413">
        <w:t>As with PG&amp;E, while day-to-day performance can vary, much of the variation across days is explained by statistical uncertainty.</w:t>
      </w:r>
    </w:p>
    <w:p w:rsidR="008028DC" w:rsidRPr="00CD675E" w:rsidRDefault="008028DC" w:rsidP="008028DC">
      <w:pPr>
        <w:pStyle w:val="Bullets"/>
        <w:tabs>
          <w:tab w:val="num" w:pos="720"/>
        </w:tabs>
        <w:ind w:left="720"/>
      </w:pPr>
      <w:r w:rsidRPr="00176128">
        <w:rPr>
          <w:b/>
        </w:rPr>
        <w:t xml:space="preserve">Demand reductions </w:t>
      </w:r>
      <w:r w:rsidR="007A31F4">
        <w:rPr>
          <w:b/>
        </w:rPr>
        <w:t>we</w:t>
      </w:r>
      <w:r w:rsidRPr="00176128">
        <w:rPr>
          <w:b/>
        </w:rPr>
        <w:t>re highly concentrated in specific industry segments – Manufacturing, and Wholesale, Transport &amp; Other Utilities</w:t>
      </w:r>
      <w:proofErr w:type="gramStart"/>
      <w:r w:rsidRPr="00176128">
        <w:rPr>
          <w:b/>
        </w:rPr>
        <w:t>.</w:t>
      </w:r>
      <w:r w:rsidRPr="00821413">
        <w:rPr>
          <w:i/>
        </w:rPr>
        <w:t xml:space="preserve">  </w:t>
      </w:r>
      <w:proofErr w:type="gramEnd"/>
      <w:r>
        <w:t>These customers make up 44% of program enrollment and 42</w:t>
      </w:r>
      <w:r w:rsidRPr="00821413">
        <w:t>% of progra</w:t>
      </w:r>
      <w:r>
        <w:t>m load at SCE, but contribute 83</w:t>
      </w:r>
      <w:r w:rsidRPr="00821413">
        <w:t>% of the estimated demand reductions</w:t>
      </w:r>
      <w:proofErr w:type="gramStart"/>
      <w:r w:rsidRPr="00821413">
        <w:t xml:space="preserve">.  </w:t>
      </w:r>
      <w:proofErr w:type="gramEnd"/>
      <w:r w:rsidRPr="00821413">
        <w:t>Manufacturing customers reduce a larger share of their demand than the average CPP customer</w:t>
      </w:r>
      <w:r>
        <w:t>, delivering a reduction of 12.4</w:t>
      </w:r>
      <w:r w:rsidRPr="00821413">
        <w:t>%.</w:t>
      </w:r>
    </w:p>
    <w:p w:rsidR="008028DC" w:rsidRPr="00712D1E" w:rsidRDefault="008028DC" w:rsidP="008028DC">
      <w:pPr>
        <w:pStyle w:val="BulletLast"/>
        <w:tabs>
          <w:tab w:val="num" w:pos="720"/>
        </w:tabs>
        <w:ind w:left="720"/>
        <w:rPr>
          <w:color w:val="1F497D"/>
        </w:rPr>
      </w:pPr>
      <w:r w:rsidRPr="00176128">
        <w:rPr>
          <w:b/>
        </w:rPr>
        <w:lastRenderedPageBreak/>
        <w:t>Under SCE’s current enrollment projections, the load reduction capability for large default CPP customers is expected to remain nearly constant</w:t>
      </w:r>
      <w:proofErr w:type="gramStart"/>
      <w:r w:rsidRPr="00176128">
        <w:rPr>
          <w:b/>
        </w:rPr>
        <w:t>.</w:t>
      </w:r>
      <w:r w:rsidR="00C00E65">
        <w:t xml:space="preserve">  </w:t>
      </w:r>
      <w:proofErr w:type="gramEnd"/>
      <w:r w:rsidR="00C00E65">
        <w:t>2015</w:t>
      </w:r>
      <w:r w:rsidRPr="00821413">
        <w:t xml:space="preserve"> aggregate load impacts at SCE during an August event for the 1-in-2 weather year</w:t>
      </w:r>
      <w:r>
        <w:t xml:space="preserve"> sc</w:t>
      </w:r>
      <w:r w:rsidR="00BD3F25">
        <w:t>enario is estimated to be 21.3</w:t>
      </w:r>
      <w:r w:rsidRPr="00821413">
        <w:t xml:space="preserve"> MW.</w:t>
      </w:r>
      <w:r w:rsidRPr="00712D1E">
        <w:rPr>
          <w:i/>
          <w:iCs/>
        </w:rPr>
        <w:t xml:space="preserve"> </w:t>
      </w:r>
    </w:p>
    <w:p w:rsidR="008028DC" w:rsidRPr="00712D1E" w:rsidRDefault="008028DC" w:rsidP="008028DC">
      <w:pPr>
        <w:pStyle w:val="BulletLast"/>
        <w:tabs>
          <w:tab w:val="num" w:pos="720"/>
        </w:tabs>
        <w:ind w:left="720"/>
        <w:rPr>
          <w:color w:val="1F497D"/>
        </w:rPr>
      </w:pPr>
      <w:r w:rsidRPr="00176128">
        <w:rPr>
          <w:b/>
          <w:iCs/>
        </w:rPr>
        <w:t>Default CPP load impacts for small and medium C&amp;I customers are highly uncertain</w:t>
      </w:r>
      <w:proofErr w:type="gramStart"/>
      <w:r w:rsidRPr="00176128">
        <w:rPr>
          <w:b/>
          <w:iCs/>
        </w:rPr>
        <w:t xml:space="preserve">.  </w:t>
      </w:r>
      <w:proofErr w:type="gramEnd"/>
      <w:r w:rsidRPr="00210C63">
        <w:t>The</w:t>
      </w:r>
      <w:r>
        <w:t xml:space="preserve"> </w:t>
      </w:r>
      <w:r w:rsidRPr="00210C63">
        <w:t xml:space="preserve">estimate developed by </w:t>
      </w:r>
      <w:r>
        <w:t>assuming a modest percentage impact informed</w:t>
      </w:r>
      <w:r w:rsidR="007A31F4">
        <w:t> </w:t>
      </w:r>
      <w:r>
        <w:t xml:space="preserve">by PG&amp;E’s early enrollment pilot (EEP) assumes </w:t>
      </w:r>
      <w:r w:rsidRPr="00210C63">
        <w:t>th</w:t>
      </w:r>
      <w:r>
        <w:t>ey will deliver approximately 8.3</w:t>
      </w:r>
      <w:r w:rsidRPr="00210C63">
        <w:t xml:space="preserve"> MW </w:t>
      </w:r>
      <w:r>
        <w:t xml:space="preserve">in </w:t>
      </w:r>
      <w:r w:rsidRPr="00210C63">
        <w:t>201</w:t>
      </w:r>
      <w:r>
        <w:t>8</w:t>
      </w:r>
      <w:r w:rsidRPr="00210C63">
        <w:t>.</w:t>
      </w:r>
    </w:p>
    <w:p w:rsidR="008028DC" w:rsidRPr="004827EA" w:rsidRDefault="008028DC" w:rsidP="008028DC">
      <w:pPr>
        <w:pStyle w:val="BodyBeforeBullet"/>
        <w:keepNext w:val="0"/>
      </w:pPr>
      <w:r>
        <w:t xml:space="preserve">Key </w:t>
      </w:r>
      <w:r w:rsidRPr="004827EA">
        <w:t>findings for SDG&amp;E include the following:</w:t>
      </w:r>
    </w:p>
    <w:p w:rsidR="008028DC" w:rsidRPr="004827EA" w:rsidRDefault="008028DC" w:rsidP="008028DC">
      <w:pPr>
        <w:pStyle w:val="Bullets"/>
        <w:tabs>
          <w:tab w:val="num" w:pos="720"/>
        </w:tabs>
        <w:ind w:left="720"/>
      </w:pPr>
      <w:r w:rsidRPr="00176128">
        <w:rPr>
          <w:b/>
        </w:rPr>
        <w:t>SDG&amp;E called more events in 2014 than in 2013</w:t>
      </w:r>
      <w:proofErr w:type="gramStart"/>
      <w:r w:rsidRPr="00176128">
        <w:rPr>
          <w:b/>
        </w:rPr>
        <w:t>.</w:t>
      </w:r>
      <w:r w:rsidRPr="004827EA">
        <w:rPr>
          <w:i/>
        </w:rPr>
        <w:t xml:space="preserve">  </w:t>
      </w:r>
      <w:proofErr w:type="gramEnd"/>
      <w:r>
        <w:t>Six events were called in 2014 versus four</w:t>
      </w:r>
      <w:r w:rsidRPr="004827EA">
        <w:t xml:space="preserve"> in 201</w:t>
      </w:r>
      <w:r>
        <w:t>3</w:t>
      </w:r>
      <w:proofErr w:type="gramStart"/>
      <w:r>
        <w:t xml:space="preserve">.  </w:t>
      </w:r>
      <w:proofErr w:type="gramEnd"/>
      <w:r>
        <w:t>One of the events in 2014 was called in February.</w:t>
      </w:r>
    </w:p>
    <w:p w:rsidR="008028DC" w:rsidRPr="00176128" w:rsidRDefault="008028DC" w:rsidP="008028DC">
      <w:pPr>
        <w:pStyle w:val="Bullets"/>
        <w:tabs>
          <w:tab w:val="num" w:pos="720"/>
        </w:tabs>
        <w:ind w:left="720"/>
        <w:rPr>
          <w:b/>
        </w:rPr>
      </w:pPr>
      <w:r w:rsidRPr="00176128">
        <w:rPr>
          <w:b/>
        </w:rPr>
        <w:t>In aggregate, participants reduced demand by 8.8% across the 11</w:t>
      </w:r>
      <w:r w:rsidR="00176128">
        <w:rPr>
          <w:b/>
        </w:rPr>
        <w:t xml:space="preserve"> AM</w:t>
      </w:r>
      <w:r w:rsidRPr="00176128">
        <w:rPr>
          <w:b/>
        </w:rPr>
        <w:t xml:space="preserve"> to 6 PM event window for the average event, delivering 25.4 MW of demand reduction. </w:t>
      </w:r>
    </w:p>
    <w:p w:rsidR="008028DC" w:rsidRPr="004827EA" w:rsidRDefault="008028DC" w:rsidP="008028DC">
      <w:pPr>
        <w:pStyle w:val="Bullets"/>
        <w:tabs>
          <w:tab w:val="num" w:pos="720"/>
        </w:tabs>
        <w:ind w:left="720"/>
      </w:pPr>
      <w:r w:rsidRPr="00176128">
        <w:rPr>
          <w:b/>
        </w:rPr>
        <w:t>The differences between individual event day results and average event day results are not statistically significant</w:t>
      </w:r>
      <w:proofErr w:type="gramStart"/>
      <w:r w:rsidRPr="00176128">
        <w:rPr>
          <w:b/>
        </w:rPr>
        <w:t>.</w:t>
      </w:r>
      <w:r w:rsidRPr="004827EA">
        <w:t xml:space="preserve">  </w:t>
      </w:r>
      <w:proofErr w:type="gramEnd"/>
      <w:r w:rsidRPr="004827EA">
        <w:t xml:space="preserve">Estimated </w:t>
      </w:r>
      <w:r>
        <w:t>demand reductions vary from 14.6</w:t>
      </w:r>
      <w:r w:rsidR="007A31F4">
        <w:t> </w:t>
      </w:r>
      <w:r>
        <w:t>MW to 33.7</w:t>
      </w:r>
      <w:r w:rsidRPr="004827EA">
        <w:t xml:space="preserve"> MW for individual events</w:t>
      </w:r>
      <w:proofErr w:type="gramStart"/>
      <w:r w:rsidRPr="004827EA">
        <w:t xml:space="preserve">.  </w:t>
      </w:r>
      <w:proofErr w:type="gramEnd"/>
      <w:r w:rsidRPr="004827EA">
        <w:t>On a percentage basis, estimated</w:t>
      </w:r>
      <w:r>
        <w:t xml:space="preserve"> demand reductions vary from 7.1% to 11.7</w:t>
      </w:r>
      <w:r w:rsidRPr="004827EA">
        <w:t>%</w:t>
      </w:r>
      <w:proofErr w:type="gramStart"/>
      <w:r w:rsidRPr="004827EA">
        <w:t xml:space="preserve">.  </w:t>
      </w:r>
      <w:proofErr w:type="gramEnd"/>
      <w:r w:rsidRPr="004827EA">
        <w:t>As with the other utility results, day-to-day performance can vary, but most of the variation is explained by statistical uncertainty.</w:t>
      </w:r>
    </w:p>
    <w:p w:rsidR="008028DC" w:rsidRPr="008C28A3" w:rsidRDefault="008028DC" w:rsidP="008028DC">
      <w:pPr>
        <w:pStyle w:val="Bullets"/>
        <w:tabs>
          <w:tab w:val="num" w:pos="720"/>
        </w:tabs>
        <w:ind w:left="720"/>
      </w:pPr>
      <w:r w:rsidRPr="00176128">
        <w:rPr>
          <w:b/>
        </w:rPr>
        <w:t>Demand reductions were concentrated in wholesale, transport and other utilities and institutional/government sectors</w:t>
      </w:r>
      <w:proofErr w:type="gramStart"/>
      <w:r w:rsidRPr="00176128">
        <w:rPr>
          <w:b/>
        </w:rPr>
        <w:t>.</w:t>
      </w:r>
      <w:r w:rsidRPr="008C28A3">
        <w:rPr>
          <w:i/>
        </w:rPr>
        <w:t xml:space="preserve"> </w:t>
      </w:r>
      <w:r w:rsidR="007A31F4">
        <w:rPr>
          <w:i/>
        </w:rPr>
        <w:t xml:space="preserve"> </w:t>
      </w:r>
      <w:proofErr w:type="gramEnd"/>
      <w:r>
        <w:t>These customers make up 25% of program enrollment and 19.8</w:t>
      </w:r>
      <w:r w:rsidRPr="008C28A3">
        <w:t>% of program re</w:t>
      </w:r>
      <w:r>
        <w:t>ference load, but account for 55.7</w:t>
      </w:r>
      <w:r w:rsidRPr="008C28A3">
        <w:t>% of the estimated demand reductions</w:t>
      </w:r>
      <w:proofErr w:type="gramStart"/>
      <w:r w:rsidRPr="008C28A3">
        <w:t xml:space="preserve">. </w:t>
      </w:r>
      <w:r w:rsidR="007A31F4">
        <w:t xml:space="preserve"> </w:t>
      </w:r>
      <w:proofErr w:type="gramEnd"/>
      <w:r w:rsidRPr="008C28A3">
        <w:t xml:space="preserve">On a percentage basis, the highest-performing industry was </w:t>
      </w:r>
      <w:r>
        <w:t>agriculture, mining and construction</w:t>
      </w:r>
      <w:r w:rsidRPr="008C28A3">
        <w:t>, with</w:t>
      </w:r>
      <w:r>
        <w:t xml:space="preserve"> average load reductions of 34.6</w:t>
      </w:r>
      <w:r w:rsidRPr="008C28A3">
        <w:t>%</w:t>
      </w:r>
      <w:r w:rsidR="007A31F4">
        <w:t>;</w:t>
      </w:r>
      <w:r>
        <w:t xml:space="preserve"> however</w:t>
      </w:r>
      <w:r w:rsidR="007A31F4">
        <w:t>,</w:t>
      </w:r>
      <w:r>
        <w:t xml:space="preserve"> there is still a large amount of uncertainty in the estimate as the sector is comprised of only 15 customers</w:t>
      </w:r>
      <w:proofErr w:type="gramStart"/>
      <w:r w:rsidRPr="008C28A3">
        <w:t xml:space="preserve">.  </w:t>
      </w:r>
      <w:proofErr w:type="gramEnd"/>
      <w:r w:rsidRPr="008C28A3">
        <w:t xml:space="preserve">These </w:t>
      </w:r>
      <w:r>
        <w:t>customers accounted for just 1</w:t>
      </w:r>
      <w:r w:rsidRPr="008C28A3">
        <w:t>% of both program enrollment and reference load.</w:t>
      </w:r>
    </w:p>
    <w:p w:rsidR="008028DC" w:rsidRDefault="008028DC" w:rsidP="008028DC">
      <w:pPr>
        <w:pStyle w:val="Bullets"/>
        <w:tabs>
          <w:tab w:val="num" w:pos="720"/>
        </w:tabs>
        <w:ind w:left="720"/>
      </w:pPr>
      <w:r w:rsidRPr="00176128">
        <w:rPr>
          <w:b/>
        </w:rPr>
        <w:t>Ex ante impacts for SDG&amp;E’s large customers grow moderately from year to year</w:t>
      </w:r>
      <w:proofErr w:type="gramStart"/>
      <w:r w:rsidRPr="00176128">
        <w:rPr>
          <w:b/>
        </w:rPr>
        <w:t xml:space="preserve">.  </w:t>
      </w:r>
      <w:proofErr w:type="gramEnd"/>
      <w:r w:rsidRPr="008C28A3">
        <w:t xml:space="preserve">The aggregate 1-in-2 weather year </w:t>
      </w:r>
      <w:r w:rsidR="00423F19">
        <w:t xml:space="preserve">August </w:t>
      </w:r>
      <w:r w:rsidRPr="008C28A3">
        <w:t>demand redu</w:t>
      </w:r>
      <w:r>
        <w:t xml:space="preserve">ctions </w:t>
      </w:r>
      <w:r w:rsidR="00423F19">
        <w:t xml:space="preserve">are </w:t>
      </w:r>
      <w:r>
        <w:t xml:space="preserve">forecasted </w:t>
      </w:r>
      <w:r w:rsidR="00423F19">
        <w:t>to grow from</w:t>
      </w:r>
      <w:r>
        <w:t xml:space="preserve"> </w:t>
      </w:r>
      <w:r w:rsidR="00BD3F25">
        <w:t>24.3</w:t>
      </w:r>
      <w:r w:rsidRPr="008C28A3">
        <w:t xml:space="preserve"> MW</w:t>
      </w:r>
      <w:r w:rsidR="00423F19">
        <w:t xml:space="preserve"> in 2015 to</w:t>
      </w:r>
      <w:r w:rsidR="00BD3F25">
        <w:t xml:space="preserve"> 26</w:t>
      </w:r>
      <w:r>
        <w:t>.9</w:t>
      </w:r>
      <w:r w:rsidRPr="008C28A3">
        <w:t xml:space="preserve"> MW</w:t>
      </w:r>
      <w:r>
        <w:t xml:space="preserve"> in 2025</w:t>
      </w:r>
      <w:r w:rsidRPr="008C28A3">
        <w:t>.</w:t>
      </w:r>
    </w:p>
    <w:p w:rsidR="008028DC" w:rsidRPr="00712D1E" w:rsidRDefault="008028DC" w:rsidP="008028DC">
      <w:pPr>
        <w:pStyle w:val="BulletLast"/>
        <w:tabs>
          <w:tab w:val="num" w:pos="720"/>
        </w:tabs>
        <w:ind w:left="720"/>
        <w:rPr>
          <w:color w:val="1F497D"/>
        </w:rPr>
      </w:pPr>
      <w:r w:rsidRPr="00CD5369">
        <w:rPr>
          <w:b/>
          <w:iCs/>
        </w:rPr>
        <w:t>Default CPP load impacts for medium C&amp;I customers are highly uncertain</w:t>
      </w:r>
      <w:proofErr w:type="gramStart"/>
      <w:r w:rsidRPr="00CD5369">
        <w:rPr>
          <w:b/>
          <w:iCs/>
        </w:rPr>
        <w:t xml:space="preserve">.  </w:t>
      </w:r>
      <w:proofErr w:type="gramEnd"/>
      <w:r w:rsidRPr="00210C63">
        <w:t>The</w:t>
      </w:r>
      <w:r>
        <w:t xml:space="preserve"> </w:t>
      </w:r>
      <w:r w:rsidRPr="00210C63">
        <w:t xml:space="preserve">estimate developed by </w:t>
      </w:r>
      <w:r>
        <w:t xml:space="preserve">assuming a modest percentage impact </w:t>
      </w:r>
      <w:r w:rsidR="00A74283">
        <w:t xml:space="preserve">forecasts that </w:t>
      </w:r>
      <w:r w:rsidRPr="00210C63">
        <w:t>th</w:t>
      </w:r>
      <w:r>
        <w:t>ey will deliver approximately 9.4</w:t>
      </w:r>
      <w:r w:rsidRPr="00210C63">
        <w:t xml:space="preserve"> MW </w:t>
      </w:r>
      <w:r>
        <w:t xml:space="preserve">in </w:t>
      </w:r>
      <w:r w:rsidRPr="00210C63">
        <w:t>201</w:t>
      </w:r>
      <w:r>
        <w:t>8</w:t>
      </w:r>
      <w:r w:rsidRPr="00210C63">
        <w:t>.</w:t>
      </w:r>
    </w:p>
    <w:p w:rsidR="006A7080" w:rsidRDefault="006A7080" w:rsidP="006A7080">
      <w:r>
        <w:br w:type="page"/>
      </w:r>
    </w:p>
    <w:p w:rsidR="006A7080" w:rsidRDefault="006A7080" w:rsidP="006A7080">
      <w:pPr>
        <w:pStyle w:val="Heading1"/>
      </w:pPr>
      <w:bookmarkStart w:id="39" w:name="_Toc352323621"/>
      <w:bookmarkStart w:id="40" w:name="_Toc412650578"/>
      <w:bookmarkStart w:id="41" w:name="_Toc415494749"/>
      <w:r w:rsidRPr="00162BD9">
        <w:lastRenderedPageBreak/>
        <w:t>Introduction</w:t>
      </w:r>
      <w:bookmarkEnd w:id="39"/>
      <w:bookmarkEnd w:id="40"/>
      <w:bookmarkEnd w:id="41"/>
    </w:p>
    <w:p w:rsidR="006A7080" w:rsidRDefault="006A7080" w:rsidP="006A7080">
      <w:pPr>
        <w:pStyle w:val="BodyParagraph"/>
      </w:pPr>
      <w:r>
        <w:t xml:space="preserve">The 2014 statewide evaluation of California’s non-residential </w:t>
      </w:r>
      <w:r w:rsidR="000963B2">
        <w:t>Critical Peak Pricing (</w:t>
      </w:r>
      <w:r>
        <w:t>CPP</w:t>
      </w:r>
      <w:r w:rsidR="000963B2">
        <w:t>)</w:t>
      </w:r>
      <w:r>
        <w:t xml:space="preserve"> programs is designed to meet</w:t>
      </w:r>
      <w:r w:rsidR="00E40D09">
        <w:t> </w:t>
      </w:r>
      <w:r>
        <w:t>multiple objectives</w:t>
      </w:r>
      <w:proofErr w:type="gramStart"/>
      <w:r>
        <w:t xml:space="preserve">.  </w:t>
      </w:r>
      <w:proofErr w:type="gramEnd"/>
      <w:r>
        <w:t>The primary objective is to develop ex post and ex ante load impact estimates for each utility</w:t>
      </w:r>
      <w:proofErr w:type="gramStart"/>
      <w:r>
        <w:t xml:space="preserve">.  </w:t>
      </w:r>
      <w:proofErr w:type="gramEnd"/>
      <w:r>
        <w:t>The ex post estimates presented in this report represent CPP performance for events called in</w:t>
      </w:r>
      <w:r w:rsidR="00E40D09">
        <w:t> </w:t>
      </w:r>
      <w:r>
        <w:t>the 2014 calendar year and reflect the specific system, dispatch, enrollment, weather and economic conditions that were in effect at each utility on those event days</w:t>
      </w:r>
      <w:proofErr w:type="gramStart"/>
      <w:r>
        <w:t xml:space="preserve">.  </w:t>
      </w:r>
      <w:proofErr w:type="gramEnd"/>
      <w:r>
        <w:t>These estimated impacts are not necessarily reflective of what could be expe</w:t>
      </w:r>
      <w:r w:rsidR="00C1249A">
        <w:t>cted under conditions that may</w:t>
      </w:r>
      <w:r>
        <w:t xml:space="preserve"> occur in the future</w:t>
      </w:r>
      <w:proofErr w:type="gramStart"/>
      <w:r>
        <w:t xml:space="preserve">.  </w:t>
      </w:r>
      <w:proofErr w:type="gramEnd"/>
      <w:r>
        <w:t>Ex ante load impacts are forward looking and are designed to reflect the load reduction capability of the CPP program under a</w:t>
      </w:r>
      <w:r w:rsidR="000963B2">
        <w:t> </w:t>
      </w:r>
      <w:r>
        <w:t>standard set of system and resource planning conditions</w:t>
      </w:r>
      <w:proofErr w:type="gramStart"/>
      <w:r>
        <w:t xml:space="preserve">.  </w:t>
      </w:r>
      <w:proofErr w:type="gramEnd"/>
      <w:r>
        <w:t xml:space="preserve">Typically, ex ante estimates are based on the ex post analysis, but the </w:t>
      </w:r>
      <w:proofErr w:type="spellStart"/>
      <w:r>
        <w:t>ex</w:t>
      </w:r>
      <w:r w:rsidR="00C7254E">
        <w:t> </w:t>
      </w:r>
      <w:r>
        <w:t>ante</w:t>
      </w:r>
      <w:proofErr w:type="spellEnd"/>
      <w:r>
        <w:t xml:space="preserve"> estimates require adjustments to reflect appropriate ex ante conditions</w:t>
      </w:r>
      <w:proofErr w:type="gramStart"/>
      <w:r>
        <w:t xml:space="preserve">.  </w:t>
      </w:r>
      <w:proofErr w:type="gramEnd"/>
      <w:r>
        <w:t>Ex ante load impacts are not only important for system and resource planning</w:t>
      </w:r>
      <w:r w:rsidR="00C1249A">
        <w:t>,</w:t>
      </w:r>
      <w:r>
        <w:t xml:space="preserve"> but also for comparing load impacts across CPP programs and for cost-effectiveness analyses.</w:t>
      </w:r>
    </w:p>
    <w:p w:rsidR="006A7080" w:rsidRDefault="006A7080" w:rsidP="006A7080">
      <w:pPr>
        <w:pStyle w:val="BodyBeforeBullet"/>
      </w:pPr>
      <w:r>
        <w:t>This evaluation is designed to address the following research questions:</w:t>
      </w:r>
    </w:p>
    <w:p w:rsidR="006A7080" w:rsidRDefault="006A7080" w:rsidP="006A7080">
      <w:pPr>
        <w:pStyle w:val="Bullets"/>
        <w:tabs>
          <w:tab w:val="num" w:pos="720"/>
        </w:tabs>
        <w:ind w:left="720"/>
      </w:pPr>
      <w:r>
        <w:t xml:space="preserve">What amount of </w:t>
      </w:r>
      <w:r w:rsidRPr="004F7857">
        <w:t xml:space="preserve">demand </w:t>
      </w:r>
      <w:r>
        <w:t xml:space="preserve">did CPP participants reduce at each utility during 2014 events (i.e., what are the ex post impacts)? </w:t>
      </w:r>
    </w:p>
    <w:p w:rsidR="006A7080" w:rsidRDefault="00C1249A" w:rsidP="006A7080">
      <w:pPr>
        <w:pStyle w:val="Bullets"/>
        <w:tabs>
          <w:tab w:val="num" w:pos="720"/>
        </w:tabs>
        <w:ind w:left="720"/>
      </w:pPr>
      <w:r>
        <w:t>How d</w:t>
      </w:r>
      <w:r w:rsidR="006A7080">
        <w:t>id the estimated demand reductions vary across events and temperature conditions?</w:t>
      </w:r>
    </w:p>
    <w:p w:rsidR="006A7080" w:rsidRDefault="006A7080" w:rsidP="006A7080">
      <w:pPr>
        <w:pStyle w:val="Bullets"/>
        <w:tabs>
          <w:tab w:val="num" w:pos="720"/>
        </w:tabs>
        <w:ind w:left="720"/>
      </w:pPr>
      <w:r>
        <w:t xml:space="preserve">How do the number of accounts, load, demand </w:t>
      </w:r>
      <w:proofErr w:type="gramStart"/>
      <w:r>
        <w:t>reductions</w:t>
      </w:r>
      <w:proofErr w:type="gramEnd"/>
      <w:r>
        <w:t xml:space="preserve"> and performance vary across different industry, location and customer size categories?  </w:t>
      </w:r>
    </w:p>
    <w:p w:rsidR="006A7080" w:rsidRDefault="006A7080" w:rsidP="006A7080">
      <w:pPr>
        <w:pStyle w:val="Bullets"/>
        <w:tabs>
          <w:tab w:val="num" w:pos="720"/>
        </w:tabs>
        <w:ind w:left="720"/>
      </w:pPr>
      <w:r>
        <w:t>Do demand reductions vary based on the presence of enabling technology and/or participation in other DR programs?</w:t>
      </w:r>
    </w:p>
    <w:p w:rsidR="006A7080" w:rsidRDefault="006A7080" w:rsidP="006A7080">
      <w:pPr>
        <w:pStyle w:val="Bullets"/>
        <w:tabs>
          <w:tab w:val="num" w:pos="720"/>
        </w:tabs>
        <w:ind w:left="720"/>
      </w:pPr>
      <w:r>
        <w:t xml:space="preserve">Have </w:t>
      </w:r>
      <w:r w:rsidRPr="00E45445">
        <w:t>customer demand reductions grow</w:t>
      </w:r>
      <w:r>
        <w:t>n</w:t>
      </w:r>
      <w:r w:rsidRPr="00E45445">
        <w:t xml:space="preserve">, </w:t>
      </w:r>
      <w:proofErr w:type="gramStart"/>
      <w:r w:rsidRPr="00E45445">
        <w:t>decrease</w:t>
      </w:r>
      <w:r>
        <w:t>d</w:t>
      </w:r>
      <w:proofErr w:type="gramEnd"/>
      <w:r w:rsidRPr="00E45445">
        <w:t xml:space="preserve"> or remain</w:t>
      </w:r>
      <w:r>
        <w:t>ed</w:t>
      </w:r>
      <w:r w:rsidRPr="00E45445">
        <w:t xml:space="preserve"> constant </w:t>
      </w:r>
      <w:r>
        <w:t>across</w:t>
      </w:r>
      <w:r w:rsidR="00C7254E">
        <w:t> </w:t>
      </w:r>
      <w:r>
        <w:t>years?</w:t>
      </w:r>
    </w:p>
    <w:p w:rsidR="006A7080" w:rsidRDefault="006A7080" w:rsidP="006A7080">
      <w:pPr>
        <w:pStyle w:val="Bullets"/>
        <w:tabs>
          <w:tab w:val="num" w:pos="720"/>
        </w:tabs>
        <w:ind w:left="720"/>
      </w:pPr>
      <w:r>
        <w:t xml:space="preserve">What amount of demand reduction can CPP rates provide under normal (1-in-2) and extreme (1-in-10) year weather conditions (i.e., what are the </w:t>
      </w:r>
      <w:proofErr w:type="spellStart"/>
      <w:r>
        <w:t>ex ante</w:t>
      </w:r>
      <w:proofErr w:type="spellEnd"/>
      <w:r>
        <w:t xml:space="preserve"> load impacts)?</w:t>
      </w:r>
    </w:p>
    <w:p w:rsidR="006A7080" w:rsidRDefault="006A7080" w:rsidP="006A7080">
      <w:pPr>
        <w:pStyle w:val="Bullets"/>
        <w:tabs>
          <w:tab w:val="num" w:pos="720"/>
        </w:tabs>
        <w:ind w:left="720"/>
      </w:pPr>
      <w:r>
        <w:t>How do ex ante load impacts vary under normal and extreme weather based on utility-specific and CAISO peak operating conditions?</w:t>
      </w:r>
      <w:r>
        <w:rPr>
          <w:rStyle w:val="FootnoteReference"/>
        </w:rPr>
        <w:footnoteReference w:id="3"/>
      </w:r>
    </w:p>
    <w:p w:rsidR="006A7080" w:rsidRDefault="006A7080" w:rsidP="006A7080">
      <w:pPr>
        <w:pStyle w:val="BulletLast"/>
        <w:tabs>
          <w:tab w:val="num" w:pos="720"/>
        </w:tabs>
        <w:spacing w:after="360"/>
        <w:ind w:left="720"/>
      </w:pPr>
      <w:r>
        <w:t>How are CPP demand reduction resources forecasted to change in future years</w:t>
      </w:r>
      <w:proofErr w:type="gramStart"/>
      <w:r>
        <w:t xml:space="preserve">?  </w:t>
      </w:r>
      <w:proofErr w:type="gramEnd"/>
      <w:r>
        <w:t>How much of the forecasted change is due to changes in program enrollment and/or the implementation of default CPP fo</w:t>
      </w:r>
      <w:r w:rsidR="00C1249A">
        <w:t>r medium businesses?</w:t>
      </w:r>
    </w:p>
    <w:p w:rsidR="006A7080" w:rsidRPr="00D8636A" w:rsidRDefault="006A7080" w:rsidP="006A7080">
      <w:pPr>
        <w:pStyle w:val="Heading2"/>
      </w:pPr>
      <w:bookmarkStart w:id="42" w:name="_Toc352323622"/>
      <w:bookmarkStart w:id="43" w:name="_Toc412650579"/>
      <w:bookmarkStart w:id="44" w:name="_Toc415494750"/>
      <w:r>
        <w:t>Non-</w:t>
      </w:r>
      <w:r w:rsidRPr="001C4623">
        <w:t>residential</w:t>
      </w:r>
      <w:r>
        <w:t xml:space="preserve"> CPP Programs at California IOUs</w:t>
      </w:r>
      <w:bookmarkEnd w:id="42"/>
      <w:bookmarkEnd w:id="43"/>
      <w:bookmarkEnd w:id="44"/>
    </w:p>
    <w:p w:rsidR="006A7080" w:rsidRDefault="00335186" w:rsidP="006A7080">
      <w:pPr>
        <w:pStyle w:val="BodyParagraph"/>
      </w:pPr>
      <w:r>
        <w:t>CPP</w:t>
      </w:r>
      <w:r w:rsidR="006A7080">
        <w:t xml:space="preserve"> is an electric rate in which a utility charges a higher price for consumption of electricity during peak hours on selected days, referred to as </w:t>
      </w:r>
      <w:r>
        <w:t>CPP</w:t>
      </w:r>
      <w:r w:rsidR="006A7080">
        <w:t xml:space="preserve"> days or event days</w:t>
      </w:r>
      <w:proofErr w:type="gramStart"/>
      <w:r w:rsidR="006A7080">
        <w:t xml:space="preserve">.  </w:t>
      </w:r>
      <w:proofErr w:type="gramEnd"/>
      <w:r w:rsidR="006A7080">
        <w:t xml:space="preserve">Typically, </w:t>
      </w:r>
      <w:r>
        <w:t xml:space="preserve">peak </w:t>
      </w:r>
      <w:r w:rsidR="006A7080">
        <w:t>hours coincide with a utility’s peak demand and CPP</w:t>
      </w:r>
      <w:r>
        <w:t xml:space="preserve"> days are called </w:t>
      </w:r>
      <w:r w:rsidR="000963B2">
        <w:t xml:space="preserve">5 </w:t>
      </w:r>
      <w:r>
        <w:t>to 15 times per</w:t>
      </w:r>
      <w:r w:rsidR="006A7080">
        <w:t xml:space="preserve"> year when demand is high and supply is short</w:t>
      </w:r>
      <w:proofErr w:type="gramStart"/>
      <w:r w:rsidR="006A7080">
        <w:t xml:space="preserve">.  </w:t>
      </w:r>
      <w:proofErr w:type="gramEnd"/>
      <w:r w:rsidR="006A7080">
        <w:t xml:space="preserve">The </w:t>
      </w:r>
      <w:r w:rsidR="006A7080" w:rsidRPr="00DE0AB2">
        <w:t xml:space="preserve">higher price during </w:t>
      </w:r>
      <w:r w:rsidR="006A7080">
        <w:t xml:space="preserve">peak hours on </w:t>
      </w:r>
      <w:r>
        <w:t>CPP</w:t>
      </w:r>
      <w:r w:rsidR="006A7080" w:rsidRPr="00DE0AB2">
        <w:t xml:space="preserve"> days</w:t>
      </w:r>
      <w:r w:rsidR="006A7080">
        <w:t xml:space="preserve"> is</w:t>
      </w:r>
      <w:r w:rsidR="006A7080" w:rsidRPr="007A1B78">
        <w:t xml:space="preserve"> </w:t>
      </w:r>
      <w:r w:rsidR="006A7080">
        <w:t>designed to encourage reductions in demand and reflect the fact that electric demand during those hours drives a substantial portion of electric infrastructure costs</w:t>
      </w:r>
      <w:proofErr w:type="gramStart"/>
      <w:r w:rsidR="006A7080">
        <w:t xml:space="preserve">.  </w:t>
      </w:r>
      <w:proofErr w:type="gramEnd"/>
      <w:r w:rsidR="006A7080">
        <w:t>Compared with non-</w:t>
      </w:r>
      <w:r w:rsidR="006A7080">
        <w:lastRenderedPageBreak/>
        <w:t>CPP tariffs, the higher CPP prices are typically offset by reductions in energy prices during non-peak hours, reductions in demand charges or both</w:t>
      </w:r>
      <w:proofErr w:type="gramStart"/>
      <w:r w:rsidR="006A7080">
        <w:t>.</w:t>
      </w:r>
      <w:r w:rsidR="006A7080" w:rsidRPr="007D3A89">
        <w:t xml:space="preserve"> </w:t>
      </w:r>
      <w:r w:rsidR="006A7080">
        <w:t xml:space="preserve"> </w:t>
      </w:r>
      <w:proofErr w:type="gramEnd"/>
      <w:r w:rsidR="006A7080">
        <w:t xml:space="preserve">For all three IOUs, CPP rates were also available for small and medium </w:t>
      </w:r>
      <w:r w:rsidR="005842DC">
        <w:t>business (SMB)</w:t>
      </w:r>
      <w:r w:rsidR="006A7080">
        <w:t xml:space="preserve"> customers on an opt-in basis, but most customers taking electric service under CPP rates in 2014 were large C&amp;I customers that were </w:t>
      </w:r>
      <w:r w:rsidR="006A7080" w:rsidRPr="00856B7A">
        <w:t>defa</w:t>
      </w:r>
      <w:r w:rsidR="006A7080">
        <w:t>ulted onto CPP</w:t>
      </w:r>
      <w:r w:rsidR="00084248">
        <w:t>, starting in 2008</w:t>
      </w:r>
      <w:proofErr w:type="gramStart"/>
      <w:r w:rsidR="006A7080">
        <w:t xml:space="preserve">.  </w:t>
      </w:r>
      <w:proofErr w:type="gramEnd"/>
      <w:r w:rsidR="006A7080">
        <w:t>Most of these customers were previously on TOU</w:t>
      </w:r>
      <w:r w:rsidR="006A7080" w:rsidRPr="00856B7A">
        <w:t xml:space="preserve"> rates that already provided incentives to shift or reduce electricity usage during peak</w:t>
      </w:r>
      <w:r w:rsidR="006A7080">
        <w:t> </w:t>
      </w:r>
      <w:r w:rsidR="006A7080" w:rsidRPr="00856B7A">
        <w:t>periods.</w:t>
      </w:r>
      <w:r w:rsidR="006A7080">
        <w:rPr>
          <w:rStyle w:val="FootnoteReference"/>
        </w:rPr>
        <w:footnoteReference w:id="4"/>
      </w:r>
      <w:r w:rsidR="006A7080">
        <w:t xml:space="preserve">  </w:t>
      </w:r>
      <w:r w:rsidR="006A7080" w:rsidRPr="00856B7A">
        <w:t xml:space="preserve"> </w:t>
      </w:r>
      <w:r w:rsidR="006A7080">
        <w:t xml:space="preserve"> </w:t>
      </w:r>
    </w:p>
    <w:p w:rsidR="006A7080" w:rsidRDefault="006A7080" w:rsidP="006A7080">
      <w:pPr>
        <w:pStyle w:val="BodyBeforeBullet"/>
      </w:pPr>
      <w:r>
        <w:t>In 2009, the California Public Utilities Commission (CPUC) issued rate design guidance for</w:t>
      </w:r>
      <w:r w:rsidR="000963B2">
        <w:t> </w:t>
      </w:r>
      <w:r>
        <w:t xml:space="preserve">dynamic pricing tariffs such as CPP </w:t>
      </w:r>
      <w:r w:rsidRPr="000C3991">
        <w:t>(</w:t>
      </w:r>
      <w:r>
        <w:t>CPUC decision (D.) 10-02-032</w:t>
      </w:r>
      <w:r w:rsidRPr="000C3991">
        <w:t>)</w:t>
      </w:r>
      <w:proofErr w:type="gramStart"/>
      <w:r>
        <w:t xml:space="preserve">.  </w:t>
      </w:r>
      <w:proofErr w:type="gramEnd"/>
      <w:r>
        <w:t>The decision standardized several key elements of dynamic pricing rate design for California IOUs:</w:t>
      </w:r>
    </w:p>
    <w:p w:rsidR="006A7080" w:rsidRPr="005C465D" w:rsidRDefault="006A7080" w:rsidP="006A7080">
      <w:pPr>
        <w:pStyle w:val="Bullets"/>
        <w:tabs>
          <w:tab w:val="num" w:pos="720"/>
        </w:tabs>
        <w:ind w:left="720"/>
      </w:pPr>
      <w:r w:rsidRPr="005C465D">
        <w:t>The default tariff for large</w:t>
      </w:r>
      <w:r>
        <w:t xml:space="preserve"> and</w:t>
      </w:r>
      <w:r w:rsidRPr="005C465D">
        <w:t xml:space="preserve"> medium </w:t>
      </w:r>
      <w:r w:rsidR="00B6211B">
        <w:t>C&amp;I</w:t>
      </w:r>
      <w:r w:rsidRPr="005C465D">
        <w:t xml:space="preserve"> customers </w:t>
      </w:r>
      <w:r>
        <w:t>must</w:t>
      </w:r>
      <w:r w:rsidRPr="005C465D">
        <w:t xml:space="preserve"> be a dynamic pricing tariff;</w:t>
      </w:r>
    </w:p>
    <w:p w:rsidR="006A7080" w:rsidRDefault="006A7080" w:rsidP="006A7080">
      <w:pPr>
        <w:pStyle w:val="Bullets"/>
        <w:tabs>
          <w:tab w:val="num" w:pos="720"/>
        </w:tabs>
        <w:ind w:left="720"/>
      </w:pPr>
      <w:r>
        <w:t>Default rates must include a high price during peak periods on a limited number of critical event days and TOU rates on non-event days;</w:t>
      </w:r>
    </w:p>
    <w:p w:rsidR="006A7080" w:rsidRDefault="006A7080" w:rsidP="006A7080">
      <w:pPr>
        <w:pStyle w:val="Bullets"/>
        <w:tabs>
          <w:tab w:val="num" w:pos="720"/>
        </w:tabs>
        <w:ind w:left="720"/>
      </w:pPr>
      <w:r>
        <w:t>The opt-out tariff for all non-residential default customers should be a time varying rate</w:t>
      </w:r>
      <w:r w:rsidR="00C7254E">
        <w:t>—</w:t>
      </w:r>
      <w:r>
        <w:t>in other words, there should no longer be a flat rate option for non-residential customers once the default schedule is completed;</w:t>
      </w:r>
    </w:p>
    <w:p w:rsidR="006A7080" w:rsidRDefault="006A7080" w:rsidP="006A7080">
      <w:pPr>
        <w:pStyle w:val="Bullets"/>
        <w:tabs>
          <w:tab w:val="num" w:pos="720"/>
        </w:tabs>
        <w:ind w:left="720"/>
      </w:pPr>
      <w:r w:rsidRPr="00FE02DB">
        <w:t xml:space="preserve">The critical peak price should represent the </w:t>
      </w:r>
      <w:r>
        <w:t>c</w:t>
      </w:r>
      <w:r w:rsidRPr="00FE02DB">
        <w:t xml:space="preserve">ost of capacity </w:t>
      </w:r>
      <w:r>
        <w:t>required</w:t>
      </w:r>
      <w:r w:rsidRPr="00FE02DB">
        <w:t xml:space="preserve"> to meet peak energy needs plus the marginal cost of energy</w:t>
      </w:r>
      <w:r w:rsidR="000963B2">
        <w:t>—</w:t>
      </w:r>
      <w:r>
        <w:t>in essence, all capacity value should be</w:t>
      </w:r>
      <w:r w:rsidR="00C7254E">
        <w:t> </w:t>
      </w:r>
      <w:r>
        <w:t>allocated to peak period hours on critical event days; and</w:t>
      </w:r>
    </w:p>
    <w:p w:rsidR="006A7080" w:rsidRDefault="006A7080" w:rsidP="006A7080">
      <w:pPr>
        <w:pStyle w:val="BulletLast"/>
        <w:tabs>
          <w:tab w:val="num" w:pos="720"/>
        </w:tabs>
        <w:spacing w:after="360"/>
        <w:ind w:left="720"/>
      </w:pPr>
      <w:r>
        <w:t>Utilities should offer first year bill protection to customers defaulted onto dynamic rates.</w:t>
      </w:r>
    </w:p>
    <w:p w:rsidR="006A7080" w:rsidRDefault="006A7080" w:rsidP="006A7080">
      <w:pPr>
        <w:pStyle w:val="BodyParagraph"/>
      </w:pPr>
      <w:r>
        <w:t>The decision also served to standardize other aspects of rate design affecting non-residential customers, including components of the default process and a schedule for each utility’s implementation of dynamic pricing across all customer classes.</w:t>
      </w:r>
    </w:p>
    <w:p w:rsidR="006A7080" w:rsidRDefault="006A7080" w:rsidP="006A7080">
      <w:pPr>
        <w:pStyle w:val="BodyBeforeBullet"/>
        <w:rPr>
          <w:lang w:val="en-CA"/>
        </w:rPr>
      </w:pPr>
      <w:r>
        <w:rPr>
          <w:lang w:val="en-CA"/>
        </w:rPr>
        <w:t>PG&amp;E, SCE and SDG&amp;E have developed CPP tariff</w:t>
      </w:r>
      <w:r w:rsidRPr="00C030E8">
        <w:rPr>
          <w:lang w:val="en-CA"/>
        </w:rPr>
        <w:t>s</w:t>
      </w:r>
      <w:r>
        <w:rPr>
          <w:lang w:val="en-CA"/>
        </w:rPr>
        <w:t xml:space="preserve"> that adhere to the principles and direction provided by D.10-02-032.  However, many </w:t>
      </w:r>
      <w:r w:rsidRPr="00C030E8">
        <w:rPr>
          <w:lang w:val="en-CA"/>
        </w:rPr>
        <w:t xml:space="preserve">details </w:t>
      </w:r>
      <w:r>
        <w:rPr>
          <w:lang w:val="en-CA"/>
        </w:rPr>
        <w:t>of the CPP tariffs vary across utilities.  Among the important differences are:</w:t>
      </w:r>
    </w:p>
    <w:p w:rsidR="006A7080" w:rsidRDefault="006A7080" w:rsidP="006A7080">
      <w:pPr>
        <w:pStyle w:val="Bullets"/>
        <w:tabs>
          <w:tab w:val="num" w:pos="720"/>
        </w:tabs>
        <w:ind w:left="720"/>
      </w:pPr>
      <w:r>
        <w:rPr>
          <w:lang w:val="en-CA"/>
        </w:rPr>
        <w:t xml:space="preserve">The rate design window schedule for each IOU caused the CPP rates to be implemented at different times.  </w:t>
      </w:r>
      <w:r w:rsidRPr="00474343">
        <w:t xml:space="preserve">SDG&amp;E </w:t>
      </w:r>
      <w:r>
        <w:t>was the first to default customers onto a</w:t>
      </w:r>
      <w:r w:rsidR="000963B2">
        <w:t> </w:t>
      </w:r>
      <w:r>
        <w:t>CPP</w:t>
      </w:r>
      <w:r w:rsidR="000963B2">
        <w:t> </w:t>
      </w:r>
      <w:r>
        <w:t xml:space="preserve">tariff, </w:t>
      </w:r>
      <w:r w:rsidRPr="00474343">
        <w:t>on May 1, 2008</w:t>
      </w:r>
      <w:proofErr w:type="gramStart"/>
      <w:r w:rsidRPr="00474343">
        <w:t xml:space="preserve">.  </w:t>
      </w:r>
      <w:proofErr w:type="gramEnd"/>
      <w:r w:rsidRPr="00474343">
        <w:t>SCE began defaulting custome</w:t>
      </w:r>
      <w:r>
        <w:t>rs onto CPP 18 months later i</w:t>
      </w:r>
      <w:r w:rsidRPr="00474343">
        <w:t>n October 2009</w:t>
      </w:r>
      <w:r>
        <w:t xml:space="preserve"> and PG&amp;E began de</w:t>
      </w:r>
      <w:r w:rsidR="00084248">
        <w:t>faulting customers in May 2010;</w:t>
      </w:r>
    </w:p>
    <w:p w:rsidR="006A7080" w:rsidRDefault="006A7080" w:rsidP="006A7080">
      <w:pPr>
        <w:pStyle w:val="Bullets"/>
        <w:tabs>
          <w:tab w:val="num" w:pos="720"/>
        </w:tabs>
        <w:ind w:left="720"/>
      </w:pPr>
      <w:r>
        <w:t xml:space="preserve">SDG&amp;E defaulted customers whose maximum demand </w:t>
      </w:r>
      <w:r w:rsidRPr="00C030E8">
        <w:t>exceed</w:t>
      </w:r>
      <w:r>
        <w:t>ed</w:t>
      </w:r>
      <w:r w:rsidRPr="00C030E8">
        <w:t xml:space="preserve"> 20 kW for </w:t>
      </w:r>
      <w:r>
        <w:t xml:space="preserve">the prior </w:t>
      </w:r>
      <w:r w:rsidRPr="00C030E8">
        <w:t>12 con</w:t>
      </w:r>
      <w:r>
        <w:t>secutive months</w:t>
      </w:r>
      <w:proofErr w:type="gramStart"/>
      <w:r>
        <w:t xml:space="preserve">.  </w:t>
      </w:r>
      <w:proofErr w:type="gramEnd"/>
      <w:r>
        <w:t xml:space="preserve">PG&amp;E defaulted </w:t>
      </w:r>
      <w:r w:rsidRPr="00C030E8">
        <w:t xml:space="preserve">customers </w:t>
      </w:r>
      <w:r>
        <w:t xml:space="preserve">with maximum demand that </w:t>
      </w:r>
      <w:r w:rsidRPr="00C030E8">
        <w:t>exceed</w:t>
      </w:r>
      <w:r>
        <w:t>ed</w:t>
      </w:r>
      <w:r w:rsidRPr="00C030E8">
        <w:t xml:space="preserve"> 200 </w:t>
      </w:r>
      <w:r>
        <w:t xml:space="preserve">kW for </w:t>
      </w:r>
      <w:r w:rsidR="000963B2">
        <w:t>three</w:t>
      </w:r>
      <w:r>
        <w:t xml:space="preserve"> consecutive months in the prior year</w:t>
      </w:r>
      <w:proofErr w:type="gramStart"/>
      <w:r w:rsidRPr="00C030E8">
        <w:t xml:space="preserve">.  </w:t>
      </w:r>
      <w:proofErr w:type="gramEnd"/>
      <w:r>
        <w:t xml:space="preserve">In addition, PG&amp;E transitioned approximately 110 small customers that had voluntarily enrolled on </w:t>
      </w:r>
      <w:proofErr w:type="spellStart"/>
      <w:r>
        <w:t>SmartRate</w:t>
      </w:r>
      <w:proofErr w:type="spellEnd"/>
      <w:r>
        <w:t>, a pure CPP tariff, to the new CPP tariff</w:t>
      </w:r>
      <w:proofErr w:type="gramStart"/>
      <w:r>
        <w:t xml:space="preserve">.  </w:t>
      </w:r>
      <w:proofErr w:type="gramEnd"/>
      <w:r w:rsidRPr="00C030E8">
        <w:t>S</w:t>
      </w:r>
      <w:r>
        <w:t>CE required</w:t>
      </w:r>
      <w:r w:rsidRPr="00C030E8">
        <w:t xml:space="preserve"> only that a customer’s monthly </w:t>
      </w:r>
      <w:r>
        <w:t>m</w:t>
      </w:r>
      <w:r w:rsidRPr="00C030E8">
        <w:t xml:space="preserve">aximum </w:t>
      </w:r>
      <w:r>
        <w:t>d</w:t>
      </w:r>
      <w:r w:rsidRPr="00C030E8">
        <w:t xml:space="preserve">emand </w:t>
      </w:r>
      <w:r>
        <w:t xml:space="preserve">exceed </w:t>
      </w:r>
      <w:r w:rsidRPr="00C030E8">
        <w:t>200</w:t>
      </w:r>
      <w:r>
        <w:t> </w:t>
      </w:r>
      <w:r w:rsidR="00084248">
        <w:t>kW;</w:t>
      </w:r>
    </w:p>
    <w:p w:rsidR="006A7080" w:rsidRDefault="006A7080" w:rsidP="006A7080">
      <w:pPr>
        <w:pStyle w:val="Bullets"/>
        <w:tabs>
          <w:tab w:val="num" w:pos="720"/>
        </w:tabs>
        <w:ind w:left="720"/>
      </w:pPr>
      <w:r w:rsidRPr="00C030E8">
        <w:lastRenderedPageBreak/>
        <w:t>At SDG&amp;</w:t>
      </w:r>
      <w:r>
        <w:t>E,</w:t>
      </w:r>
      <w:r w:rsidRPr="00C030E8">
        <w:t xml:space="preserve"> customers </w:t>
      </w:r>
      <w:r>
        <w:t>are</w:t>
      </w:r>
      <w:r w:rsidRPr="00C030E8">
        <w:t xml:space="preserve"> locked into the </w:t>
      </w:r>
      <w:r>
        <w:t xml:space="preserve">CPP </w:t>
      </w:r>
      <w:r w:rsidRPr="00C030E8">
        <w:t xml:space="preserve">rate for </w:t>
      </w:r>
      <w:r>
        <w:t>a full year if they do not opt out</w:t>
      </w:r>
      <w:r w:rsidR="00C7254E">
        <w:t> </w:t>
      </w:r>
      <w:r>
        <w:t>prior to going on the default rate, while</w:t>
      </w:r>
      <w:r w:rsidRPr="00C030E8">
        <w:t xml:space="preserve"> cust</w:t>
      </w:r>
      <w:r>
        <w:t xml:space="preserve">omers can opt out at </w:t>
      </w:r>
      <w:r w:rsidRPr="00C030E8">
        <w:t>any</w:t>
      </w:r>
      <w:r>
        <w:t xml:space="preserve"> </w:t>
      </w:r>
      <w:r w:rsidRPr="00C030E8">
        <w:t>time</w:t>
      </w:r>
      <w:r w:rsidR="00084248">
        <w:t xml:space="preserve"> at PG&amp;E and SCE;</w:t>
      </w:r>
    </w:p>
    <w:p w:rsidR="006A7080" w:rsidRDefault="006A7080" w:rsidP="006A7080">
      <w:pPr>
        <w:pStyle w:val="Bullets"/>
        <w:tabs>
          <w:tab w:val="num" w:pos="720"/>
        </w:tabs>
        <w:ind w:left="720"/>
      </w:pPr>
      <w:r w:rsidRPr="00C030E8">
        <w:t xml:space="preserve">SCE and PG&amp;E </w:t>
      </w:r>
      <w:r>
        <w:t xml:space="preserve">share </w:t>
      </w:r>
      <w:r w:rsidRPr="00C030E8">
        <w:t>the same event hours</w:t>
      </w:r>
      <w:r>
        <w:t>,</w:t>
      </w:r>
      <w:r w:rsidRPr="00C030E8">
        <w:t xml:space="preserve"> 2 to 6 </w:t>
      </w:r>
      <w:r>
        <w:t>PM</w:t>
      </w:r>
      <w:proofErr w:type="gramStart"/>
      <w:r w:rsidRPr="00C030E8">
        <w:t xml:space="preserve">.  </w:t>
      </w:r>
      <w:proofErr w:type="gramEnd"/>
      <w:r>
        <w:t>SCE and PG&amp;E</w:t>
      </w:r>
      <w:r w:rsidRPr="00C030E8">
        <w:t xml:space="preserve"> also share the same TOU peak period hours</w:t>
      </w:r>
      <w:r>
        <w:t>,</w:t>
      </w:r>
      <w:r w:rsidRPr="00C030E8">
        <w:t xml:space="preserve"> </w:t>
      </w:r>
      <w:r w:rsidR="000963B2">
        <w:t>noon</w:t>
      </w:r>
      <w:r w:rsidRPr="00C030E8">
        <w:t xml:space="preserve"> to 6 </w:t>
      </w:r>
      <w:r>
        <w:t>PM</w:t>
      </w:r>
      <w:r w:rsidRPr="00C030E8">
        <w:t xml:space="preserve">, Monday through </w:t>
      </w:r>
      <w:r>
        <w:t>Friday</w:t>
      </w:r>
      <w:proofErr w:type="gramStart"/>
      <w:r>
        <w:t xml:space="preserve">.  </w:t>
      </w:r>
      <w:proofErr w:type="gramEnd"/>
      <w:r>
        <w:t>For SDG&amp;E, both the CPP</w:t>
      </w:r>
      <w:r w:rsidRPr="00C030E8">
        <w:t xml:space="preserve"> event period hours and TOU </w:t>
      </w:r>
      <w:r>
        <w:t xml:space="preserve">summer </w:t>
      </w:r>
      <w:r w:rsidRPr="00C030E8">
        <w:t xml:space="preserve">peak period hours are </w:t>
      </w:r>
      <w:r>
        <w:t xml:space="preserve">from </w:t>
      </w:r>
      <w:r w:rsidRPr="00C030E8">
        <w:t xml:space="preserve">11 </w:t>
      </w:r>
      <w:r>
        <w:t>AM</w:t>
      </w:r>
      <w:r w:rsidRPr="00C030E8">
        <w:t xml:space="preserve"> to 6</w:t>
      </w:r>
      <w:r>
        <w:t> PM</w:t>
      </w:r>
      <w:r w:rsidRPr="00C030E8">
        <w:t xml:space="preserve">. </w:t>
      </w:r>
      <w:r>
        <w:t>Off-peak prices apply on</w:t>
      </w:r>
      <w:r w:rsidR="00084248">
        <w:t xml:space="preserve"> the weekends at all three IOUs, unless a CPP event is called on a weekday day;</w:t>
      </w:r>
    </w:p>
    <w:p w:rsidR="006A7080" w:rsidRDefault="006A7080" w:rsidP="006A7080">
      <w:pPr>
        <w:pStyle w:val="Bullets"/>
        <w:tabs>
          <w:tab w:val="num" w:pos="720"/>
        </w:tabs>
        <w:ind w:left="720"/>
      </w:pPr>
      <w:r>
        <w:t>PG&amp;E and SDG&amp;E can</w:t>
      </w:r>
      <w:r w:rsidRPr="00C030E8">
        <w:t xml:space="preserve"> call </w:t>
      </w:r>
      <w:r>
        <w:t xml:space="preserve">CPP </w:t>
      </w:r>
      <w:r w:rsidRPr="00C030E8">
        <w:t xml:space="preserve">events </w:t>
      </w:r>
      <w:r>
        <w:t>throughout the calendar year</w:t>
      </w:r>
      <w:r w:rsidRPr="00C030E8">
        <w:t xml:space="preserve"> and on any day of the week</w:t>
      </w:r>
      <w:r>
        <w:t>, while SCE only calls events on non-holiday weekdays</w:t>
      </w:r>
      <w:proofErr w:type="gramStart"/>
      <w:r>
        <w:t xml:space="preserve">.  </w:t>
      </w:r>
      <w:proofErr w:type="gramEnd"/>
      <w:r>
        <w:t xml:space="preserve">PG&amp;E is </w:t>
      </w:r>
      <w:r w:rsidRPr="00C030E8">
        <w:t>committed to a minimum of</w:t>
      </w:r>
      <w:r w:rsidR="00084248">
        <w:t xml:space="preserve"> </w:t>
      </w:r>
      <w:r w:rsidR="000963B2">
        <w:t xml:space="preserve">9 </w:t>
      </w:r>
      <w:r>
        <w:t>and a maximum of 15</w:t>
      </w:r>
      <w:r w:rsidRPr="00C030E8">
        <w:t xml:space="preserve"> events each year</w:t>
      </w:r>
      <w:proofErr w:type="gramStart"/>
      <w:r w:rsidRPr="00C030E8">
        <w:t xml:space="preserve">.  </w:t>
      </w:r>
      <w:proofErr w:type="gramEnd"/>
      <w:r>
        <w:t xml:space="preserve">SCE </w:t>
      </w:r>
      <w:r w:rsidR="00084248">
        <w:t>plans to</w:t>
      </w:r>
      <w:r>
        <w:t xml:space="preserve"> call 12 events each year and </w:t>
      </w:r>
      <w:r w:rsidRPr="00C030E8">
        <w:t xml:space="preserve">SDG&amp;E is committed to a maximum of 18 </w:t>
      </w:r>
      <w:r>
        <w:t>events with</w:t>
      </w:r>
      <w:r w:rsidR="00084248">
        <w:t xml:space="preserve"> no minimum; and</w:t>
      </w:r>
    </w:p>
    <w:p w:rsidR="006A7080" w:rsidRDefault="006A7080" w:rsidP="00084248">
      <w:pPr>
        <w:pStyle w:val="Bullets"/>
        <w:keepNext/>
        <w:tabs>
          <w:tab w:val="num" w:pos="720"/>
        </w:tabs>
        <w:spacing w:after="240"/>
        <w:ind w:left="720"/>
      </w:pPr>
      <w:r>
        <w:t xml:space="preserve">PG&amp;E </w:t>
      </w:r>
      <w:r w:rsidRPr="00C030E8">
        <w:t>notif</w:t>
      </w:r>
      <w:r>
        <w:t>ies</w:t>
      </w:r>
      <w:r w:rsidRPr="00C030E8">
        <w:t xml:space="preserve"> customers </w:t>
      </w:r>
      <w:r>
        <w:t xml:space="preserve">of CPP events </w:t>
      </w:r>
      <w:r w:rsidRPr="00C030E8">
        <w:t xml:space="preserve">via phone, email, </w:t>
      </w:r>
      <w:proofErr w:type="gramStart"/>
      <w:r w:rsidRPr="00C030E8">
        <w:t>pager</w:t>
      </w:r>
      <w:proofErr w:type="gramEnd"/>
      <w:r w:rsidRPr="00C030E8">
        <w:t xml:space="preserve"> or text by 2 </w:t>
      </w:r>
      <w:r>
        <w:t>PM</w:t>
      </w:r>
      <w:r w:rsidRPr="00C030E8">
        <w:t xml:space="preserve"> on the day before </w:t>
      </w:r>
      <w:r>
        <w:t xml:space="preserve">an </w:t>
      </w:r>
      <w:r w:rsidRPr="00C030E8">
        <w:t>event, while SCE and SDG&amp;E notif</w:t>
      </w:r>
      <w:r w:rsidR="00084248">
        <w:t>y</w:t>
      </w:r>
      <w:r w:rsidRPr="00C030E8">
        <w:t xml:space="preserve"> </w:t>
      </w:r>
      <w:r>
        <w:t>customers by 3 PM</w:t>
      </w:r>
      <w:r w:rsidR="00084248">
        <w:t xml:space="preserve"> the day before.</w:t>
      </w:r>
    </w:p>
    <w:p w:rsidR="006A7080" w:rsidRDefault="00084248" w:rsidP="00084248">
      <w:pPr>
        <w:pStyle w:val="BodyParagraph"/>
      </w:pPr>
      <w:r>
        <w:t>There is one key feature that is common to the CPP tariffs for all three IOUs</w:t>
      </w:r>
      <w:proofErr w:type="gramStart"/>
      <w:r>
        <w:t xml:space="preserve">.  </w:t>
      </w:r>
      <w:proofErr w:type="gramEnd"/>
      <w:r w:rsidR="006A7080">
        <w:t xml:space="preserve">PG&amp;E, </w:t>
      </w:r>
      <w:proofErr w:type="gramStart"/>
      <w:r w:rsidR="006A7080">
        <w:t>SCE</w:t>
      </w:r>
      <w:proofErr w:type="gramEnd"/>
      <w:r w:rsidR="006A7080">
        <w:t xml:space="preserve"> and SDG&amp;E all offer customers the ability to hedge part or all of their demand against higher CPP prices, a feature known as a capacity reservation</w:t>
      </w:r>
      <w:r w:rsidR="004B170E">
        <w:t xml:space="preserve"> level</w:t>
      </w:r>
      <w:r w:rsidR="006A7080">
        <w:t xml:space="preserve"> (CR</w:t>
      </w:r>
      <w:r w:rsidR="004B170E">
        <w:t>L</w:t>
      </w:r>
      <w:r w:rsidR="006A7080">
        <w:t>).</w:t>
      </w:r>
    </w:p>
    <w:p w:rsidR="00094E63" w:rsidRDefault="006A7080" w:rsidP="006A7080">
      <w:pPr>
        <w:pStyle w:val="BodyParagraph"/>
      </w:pPr>
      <w:r>
        <w:t>The default enrollment process differed significantly across utilities</w:t>
      </w:r>
      <w:proofErr w:type="gramStart"/>
      <w:r>
        <w:t xml:space="preserve">.  </w:t>
      </w:r>
      <w:proofErr w:type="gramEnd"/>
      <w:r>
        <w:t>At PG&amp;E, more than 5,000 accounts were scheduled to be defaulted onto CPP, but the majority of them migrated to a TOU rate before being placed on the CPP tariff</w:t>
      </w:r>
      <w:proofErr w:type="gramStart"/>
      <w:r>
        <w:t xml:space="preserve">.  </w:t>
      </w:r>
      <w:proofErr w:type="gramEnd"/>
      <w:r>
        <w:t>By the end of summer 2011, approximately 1,750 PG&amp;E accounts remained on default CPP</w:t>
      </w:r>
      <w:proofErr w:type="gramStart"/>
      <w:r>
        <w:t xml:space="preserve">.  </w:t>
      </w:r>
      <w:proofErr w:type="gramEnd"/>
      <w:r>
        <w:t xml:space="preserve">PG&amp;E’s </w:t>
      </w:r>
      <w:r w:rsidR="00B516B9">
        <w:t xml:space="preserve">CPP </w:t>
      </w:r>
      <w:r>
        <w:t xml:space="preserve">enrollment </w:t>
      </w:r>
      <w:r w:rsidRPr="00B516B9">
        <w:t>averaged</w:t>
      </w:r>
      <w:r w:rsidR="00693B04">
        <w:t>:</w:t>
      </w:r>
      <w:r w:rsidRPr="00B516B9">
        <w:t xml:space="preserve"> 1,627</w:t>
      </w:r>
      <w:r w:rsidR="00B516B9">
        <w:t xml:space="preserve"> customers in 2012</w:t>
      </w:r>
      <w:r w:rsidR="00693B04">
        <w:t>;</w:t>
      </w:r>
      <w:r w:rsidR="00B516B9" w:rsidRPr="00B516B9">
        <w:t xml:space="preserve"> </w:t>
      </w:r>
      <w:r w:rsidRPr="00B516B9">
        <w:t>1,717</w:t>
      </w:r>
      <w:r w:rsidR="00B516B9">
        <w:t xml:space="preserve"> customers in 2013</w:t>
      </w:r>
      <w:r w:rsidR="00693B04">
        <w:t>;</w:t>
      </w:r>
      <w:r w:rsidRPr="00B516B9">
        <w:t xml:space="preserve"> and</w:t>
      </w:r>
      <w:r>
        <w:t xml:space="preserve"> 1</w:t>
      </w:r>
      <w:r w:rsidR="00C7254E">
        <w:t>,</w:t>
      </w:r>
      <w:r>
        <w:t>815 customers in 201</w:t>
      </w:r>
      <w:r w:rsidR="00B516B9">
        <w:t>4</w:t>
      </w:r>
      <w:r>
        <w:t>.</w:t>
      </w:r>
    </w:p>
    <w:p w:rsidR="006A7080" w:rsidRDefault="00094E63" w:rsidP="006A7080">
      <w:pPr>
        <w:pStyle w:val="BodyParagraph"/>
      </w:pPr>
      <w:r>
        <w:t>In November 2013</w:t>
      </w:r>
      <w:r w:rsidR="00B516B9">
        <w:t>,</w:t>
      </w:r>
      <w:r>
        <w:t xml:space="preserve"> PG&amp;E engaged in a marketing effort to SMB customers who were due to be</w:t>
      </w:r>
      <w:r w:rsidR="00693B04">
        <w:t> </w:t>
      </w:r>
      <w:r>
        <w:t>defaulted onto PG&amp;E’</w:t>
      </w:r>
      <w:r w:rsidR="00EF3159">
        <w:t>s CPP tariff in November 2014</w:t>
      </w:r>
      <w:r>
        <w:t>, to encourage them to enroll early in the</w:t>
      </w:r>
      <w:r w:rsidR="00693B04">
        <w:t> </w:t>
      </w:r>
      <w:r>
        <w:t>CPP tariff on an opt-in basis</w:t>
      </w:r>
      <w:proofErr w:type="gramStart"/>
      <w:r>
        <w:t xml:space="preserve">.  </w:t>
      </w:r>
      <w:proofErr w:type="gramEnd"/>
      <w:r>
        <w:t>This initiative is referred to as the Early Enrollment Pilot (EEP)</w:t>
      </w:r>
      <w:proofErr w:type="gramStart"/>
      <w:r>
        <w:t xml:space="preserve">. </w:t>
      </w:r>
      <w:r w:rsidR="00693B04">
        <w:t xml:space="preserve"> </w:t>
      </w:r>
      <w:proofErr w:type="gramEnd"/>
      <w:r>
        <w:t>Two waves of customers were recruited: one through email outreach at the end of 2013</w:t>
      </w:r>
      <w:r w:rsidR="00693B04">
        <w:t>;</w:t>
      </w:r>
      <w:r>
        <w:t xml:space="preserve"> and the other through direct mail early in 2014</w:t>
      </w:r>
      <w:proofErr w:type="gramStart"/>
      <w:r>
        <w:t xml:space="preserve">.  </w:t>
      </w:r>
      <w:proofErr w:type="gramEnd"/>
      <w:r>
        <w:t>This yielded an average of 4,760 EEP CPP customers participating in the 10 PG&amp;E CPP events</w:t>
      </w:r>
      <w:r w:rsidR="00EF3159">
        <w:t xml:space="preserve"> in 2014</w:t>
      </w:r>
      <w:proofErr w:type="gramStart"/>
      <w:r>
        <w:t xml:space="preserve">.  </w:t>
      </w:r>
      <w:proofErr w:type="gramEnd"/>
      <w:r>
        <w:t xml:space="preserve">A subset of the EEP population was also involved in a pilot program during the 2014 season to test </w:t>
      </w:r>
      <w:r w:rsidR="00176128">
        <w:t xml:space="preserve">the </w:t>
      </w:r>
      <w:r>
        <w:t>effectiveness of in-season education and feedback on event day performance</w:t>
      </w:r>
      <w:proofErr w:type="gramStart"/>
      <w:r>
        <w:t xml:space="preserve">.  </w:t>
      </w:r>
      <w:proofErr w:type="gramEnd"/>
      <w:r w:rsidR="00185D6E">
        <w:t>Prior to and on the day of each CPP event, participating customers received emails notifying them of the event and offering tips on how to reduce energy usage</w:t>
      </w:r>
      <w:proofErr w:type="gramStart"/>
      <w:r w:rsidR="00185D6E">
        <w:t xml:space="preserve">.  </w:t>
      </w:r>
      <w:proofErr w:type="gramEnd"/>
      <w:r w:rsidR="00185D6E">
        <w:t>Customers were also directed to a website that allowed them to develop an event day plan</w:t>
      </w:r>
      <w:proofErr w:type="gramStart"/>
      <w:r w:rsidR="00185D6E">
        <w:t xml:space="preserve">.  </w:t>
      </w:r>
      <w:proofErr w:type="gramEnd"/>
      <w:r w:rsidR="00185D6E">
        <w:t>Following each event, customers were given feedback about how they performed.</w:t>
      </w:r>
    </w:p>
    <w:p w:rsidR="006A7080" w:rsidRDefault="006A7080" w:rsidP="006A7080">
      <w:pPr>
        <w:pStyle w:val="BodyParagraph"/>
      </w:pPr>
      <w:r>
        <w:t>At SCE, most of the 8,000 eligible accounts were placed on default CPP in fall 2009, but nearly half of them opted out</w:t>
      </w:r>
      <w:r w:rsidR="00544A2F">
        <w:t xml:space="preserve"> to TOU before the first summer</w:t>
      </w:r>
      <w:proofErr w:type="gramStart"/>
      <w:r>
        <w:t xml:space="preserve">.  </w:t>
      </w:r>
      <w:proofErr w:type="gramEnd"/>
      <w:r>
        <w:t>By the end of summer 2011, roughly 3,000 accounts remained on default CPP</w:t>
      </w:r>
      <w:proofErr w:type="gramStart"/>
      <w:r>
        <w:t xml:space="preserve">.  </w:t>
      </w:r>
      <w:proofErr w:type="gramEnd"/>
      <w:r>
        <w:t>Notably, SCE customers transitioned to default CPP at the same time that a 3.1% rate reduction was implemented for large customers</w:t>
      </w:r>
      <w:proofErr w:type="gramStart"/>
      <w:r>
        <w:t xml:space="preserve">.  </w:t>
      </w:r>
      <w:proofErr w:type="gramEnd"/>
      <w:r w:rsidR="00AE4E7D">
        <w:t xml:space="preserve">During CPP events, </w:t>
      </w:r>
      <w:r>
        <w:t>CPP enrollment at SCE averaged 2,496 customers in 2013 and 2,670 customers in</w:t>
      </w:r>
      <w:r w:rsidR="003B398F">
        <w:t> </w:t>
      </w:r>
      <w:r>
        <w:t>2014.</w:t>
      </w:r>
    </w:p>
    <w:p w:rsidR="006A7080" w:rsidRDefault="006A7080" w:rsidP="006A7080">
      <w:pPr>
        <w:pStyle w:val="BodyParagraph"/>
      </w:pPr>
      <w:r>
        <w:t>By the end of 2011, SDG&amp;E had almost 1,300 accounts</w:t>
      </w:r>
      <w:r w:rsidR="00C7254E">
        <w:rPr>
          <w:rFonts w:cs="Arial"/>
        </w:rPr>
        <w:t>—</w:t>
      </w:r>
      <w:r>
        <w:t>or roughly 60% of eligible customers</w:t>
      </w:r>
      <w:r w:rsidR="00C7254E">
        <w:rPr>
          <w:rFonts w:cs="Arial"/>
        </w:rPr>
        <w:t>—</w:t>
      </w:r>
      <w:r>
        <w:t xml:space="preserve">on CPP and </w:t>
      </w:r>
      <w:r>
        <w:rPr>
          <w:rFonts w:eastAsia="Times New Roman" w:cs="Times New Roman"/>
          <w:color w:val="000000"/>
        </w:rPr>
        <w:t xml:space="preserve">enrollment </w:t>
      </w:r>
      <w:r w:rsidRPr="00BE6459">
        <w:rPr>
          <w:rFonts w:eastAsia="Times New Roman" w:cs="Times New Roman"/>
          <w:color w:val="000000"/>
        </w:rPr>
        <w:t>averaged 1,063</w:t>
      </w:r>
      <w:r>
        <w:rPr>
          <w:rFonts w:eastAsia="Times New Roman" w:cs="Times New Roman"/>
          <w:color w:val="000000"/>
        </w:rPr>
        <w:t xml:space="preserve"> customers in 2013 at SDG&amp;E</w:t>
      </w:r>
      <w:proofErr w:type="gramStart"/>
      <w:r w:rsidR="003B398F">
        <w:t>.</w:t>
      </w:r>
      <w:r w:rsidRPr="00340FC0">
        <w:t xml:space="preserve"> </w:t>
      </w:r>
      <w:r w:rsidR="00C7254E">
        <w:t xml:space="preserve"> </w:t>
      </w:r>
      <w:proofErr w:type="gramEnd"/>
      <w:r>
        <w:t xml:space="preserve">In 2014, </w:t>
      </w:r>
      <w:r>
        <w:lastRenderedPageBreak/>
        <w:t>CPP enrollment averaged 1,142 customers</w:t>
      </w:r>
      <w:proofErr w:type="gramStart"/>
      <w:r>
        <w:t xml:space="preserve">.  </w:t>
      </w:r>
      <w:proofErr w:type="gramEnd"/>
      <w:r w:rsidRPr="00340FC0">
        <w:t>As</w:t>
      </w:r>
      <w:r>
        <w:t xml:space="preserve"> indicated above, if a customer does not opt out within 45 days of becoming eligible for default CPP at SDG&amp;E, they must stay on the rate for at least 12 months, whereas at PG&amp;E and SCE, customers can opt out at any time.  </w:t>
      </w:r>
    </w:p>
    <w:p w:rsidR="00FC48DE" w:rsidRDefault="006A7080" w:rsidP="006A7080">
      <w:pPr>
        <w:pStyle w:val="BodyParagraph"/>
      </w:pPr>
      <w:r>
        <w:t>All three utilities offer</w:t>
      </w:r>
      <w:r w:rsidRPr="00C030E8">
        <w:t xml:space="preserve"> </w:t>
      </w:r>
      <w:r>
        <w:t>customers CPP bill protection during their default year, which ensures that the customer does not pay more for the energy commodity under CPP than they would have under the otherwise applicable tariff (OAT)</w:t>
      </w:r>
      <w:proofErr w:type="gramStart"/>
      <w:r>
        <w:t xml:space="preserve">.  </w:t>
      </w:r>
      <w:proofErr w:type="gramEnd"/>
      <w:r>
        <w:t>At SDG&amp;E</w:t>
      </w:r>
      <w:r w:rsidR="00544A2F">
        <w:t>,</w:t>
      </w:r>
      <w:r>
        <w:t xml:space="preserve"> the result of a bill comparison is sent to</w:t>
      </w:r>
      <w:r w:rsidR="00693B04">
        <w:t> </w:t>
      </w:r>
      <w:r>
        <w:t>customers at the end of their first year on the rate</w:t>
      </w:r>
      <w:proofErr w:type="gramStart"/>
      <w:r>
        <w:t xml:space="preserve">.  </w:t>
      </w:r>
      <w:proofErr w:type="gramEnd"/>
      <w:r>
        <w:t xml:space="preserve">If the bill comparison shows that the customer paid more under CPP than they would have if they were subject to </w:t>
      </w:r>
      <w:r w:rsidR="00176128">
        <w:t xml:space="preserve">the </w:t>
      </w:r>
      <w:r>
        <w:t>OAT, then the customer’s accou</w:t>
      </w:r>
      <w:r w:rsidR="00FC48DE">
        <w:t>nt is credited the difference.</w:t>
      </w:r>
    </w:p>
    <w:p w:rsidR="006A7080" w:rsidRDefault="006A7080" w:rsidP="006A7080">
      <w:pPr>
        <w:pStyle w:val="BodyParagraph"/>
      </w:pPr>
      <w:r>
        <w:t xml:space="preserve">When assessing the impacts that are presented in subsequent </w:t>
      </w:r>
      <w:r w:rsidR="00693B04">
        <w:t>sections</w:t>
      </w:r>
      <w:r>
        <w:t xml:space="preserve">, it is important to keep in mind that cross-utility comparisons of load impacts </w:t>
      </w:r>
      <w:r w:rsidRPr="00E05739">
        <w:t>should be made w</w:t>
      </w:r>
      <w:r>
        <w:t>ith care</w:t>
      </w:r>
      <w:proofErr w:type="gramStart"/>
      <w:r>
        <w:t xml:space="preserve">.  </w:t>
      </w:r>
      <w:proofErr w:type="gramEnd"/>
      <w:r>
        <w:t>Each utility triggers</w:t>
      </w:r>
      <w:r w:rsidRPr="00E05739">
        <w:t xml:space="preserve"> </w:t>
      </w:r>
      <w:r>
        <w:t xml:space="preserve">CPP </w:t>
      </w:r>
      <w:r w:rsidRPr="00E05739">
        <w:t xml:space="preserve">event days </w:t>
      </w:r>
      <w:r>
        <w:t>using t</w:t>
      </w:r>
      <w:r w:rsidRPr="00E05739">
        <w:t>he</w:t>
      </w:r>
      <w:r>
        <w:t>ir own protocols, which depend on</w:t>
      </w:r>
      <w:r w:rsidRPr="00E05739">
        <w:t xml:space="preserve"> </w:t>
      </w:r>
      <w:r>
        <w:t>forecasted conditions for</w:t>
      </w:r>
      <w:r w:rsidRPr="00E05739">
        <w:t xml:space="preserve"> their </w:t>
      </w:r>
      <w:r>
        <w:t xml:space="preserve">individual transmission and distribution </w:t>
      </w:r>
      <w:r w:rsidRPr="00E05739">
        <w:t>system</w:t>
      </w:r>
      <w:proofErr w:type="gramStart"/>
      <w:r w:rsidRPr="00E05739">
        <w:t xml:space="preserve">.  </w:t>
      </w:r>
      <w:proofErr w:type="gramEnd"/>
      <w:r w:rsidRPr="00E05739">
        <w:t>Due to the climat</w:t>
      </w:r>
      <w:r>
        <w:t xml:space="preserve">ic diversity in California, </w:t>
      </w:r>
      <w:r w:rsidRPr="00E05739">
        <w:t>system load patterns across utilities are not alw</w:t>
      </w:r>
      <w:r>
        <w:t>ays coincident, particularly between</w:t>
      </w:r>
      <w:r w:rsidRPr="00E05739">
        <w:t xml:space="preserve"> Northern and Southern </w:t>
      </w:r>
      <w:r>
        <w:t>California</w:t>
      </w:r>
      <w:proofErr w:type="gramStart"/>
      <w:r>
        <w:t xml:space="preserve">.  </w:t>
      </w:r>
      <w:proofErr w:type="gramEnd"/>
      <w:r>
        <w:t>For example, PG&amp;E’s system peaked on June 9, 2014, the SCE</w:t>
      </w:r>
      <w:r w:rsidRPr="00E05739">
        <w:t xml:space="preserve"> system peaked on </w:t>
      </w:r>
      <w:r>
        <w:t>September 1</w:t>
      </w:r>
      <w:r w:rsidR="00FC48DE">
        <w:t>6</w:t>
      </w:r>
      <w:r>
        <w:t>, 2014</w:t>
      </w:r>
      <w:r w:rsidRPr="00E05739">
        <w:t xml:space="preserve"> while </w:t>
      </w:r>
      <w:r>
        <w:t xml:space="preserve">the </w:t>
      </w:r>
      <w:r w:rsidRPr="00E05739">
        <w:t xml:space="preserve">SDG&amp;E </w:t>
      </w:r>
      <w:r>
        <w:t>system peak occurred on September 16, 2014</w:t>
      </w:r>
      <w:proofErr w:type="gramStart"/>
      <w:r w:rsidRPr="00E05739">
        <w:t xml:space="preserve">.  </w:t>
      </w:r>
      <w:proofErr w:type="gramEnd"/>
      <w:r w:rsidRPr="00E05739">
        <w:t>Another key difference in ex post results is event duration</w:t>
      </w:r>
      <w:proofErr w:type="gramStart"/>
      <w:r w:rsidRPr="00E05739">
        <w:t xml:space="preserve">.  </w:t>
      </w:r>
      <w:proofErr w:type="gramEnd"/>
      <w:r w:rsidRPr="00E05739">
        <w:t xml:space="preserve">SDG&amp;E uses a longer event window, 11 AM to 6 PM, than PG&amp;E or SCE, which have a 2 </w:t>
      </w:r>
      <w:r>
        <w:t>t</w:t>
      </w:r>
      <w:r w:rsidRPr="00E05739">
        <w:t>o 6 PM window</w:t>
      </w:r>
      <w:proofErr w:type="gramStart"/>
      <w:r w:rsidRPr="00E05739">
        <w:t xml:space="preserve">.  </w:t>
      </w:r>
      <w:proofErr w:type="gramEnd"/>
      <w:r>
        <w:t>Finally, another differentiator</w:t>
      </w:r>
      <w:r w:rsidRPr="00E05739">
        <w:t xml:space="preserve"> is </w:t>
      </w:r>
      <w:r>
        <w:t>the rates themselves</w:t>
      </w:r>
      <w:proofErr w:type="gramStart"/>
      <w:r w:rsidRPr="00E05739">
        <w:t xml:space="preserve">.  </w:t>
      </w:r>
      <w:proofErr w:type="gramEnd"/>
      <w:r>
        <w:rPr>
          <w:lang w:val="en-CA"/>
        </w:rPr>
        <w:t>T</w:t>
      </w:r>
      <w:r w:rsidRPr="00E05739">
        <w:rPr>
          <w:lang w:val="en-CA"/>
        </w:rPr>
        <w:t xml:space="preserve">here are many differences in the details of the tariffs and the implementation processes across the three utilities.  Although the basic </w:t>
      </w:r>
      <w:r w:rsidRPr="00E05739">
        <w:t>structure</w:t>
      </w:r>
      <w:r w:rsidRPr="00E05739">
        <w:rPr>
          <w:lang w:val="en-CA"/>
        </w:rPr>
        <w:t xml:space="preserve"> of the rates</w:t>
      </w:r>
      <w:r>
        <w:rPr>
          <w:lang w:val="en-CA"/>
        </w:rPr>
        <w:t> </w:t>
      </w:r>
      <w:r w:rsidRPr="00E05739">
        <w:rPr>
          <w:lang w:val="en-CA"/>
        </w:rPr>
        <w:t>is</w:t>
      </w:r>
      <w:r>
        <w:rPr>
          <w:lang w:val="en-CA"/>
        </w:rPr>
        <w:t> </w:t>
      </w:r>
      <w:r w:rsidRPr="00E05739">
        <w:rPr>
          <w:lang w:val="en-CA"/>
        </w:rPr>
        <w:t xml:space="preserve">similar, </w:t>
      </w:r>
      <w:r>
        <w:rPr>
          <w:lang w:val="en-CA"/>
        </w:rPr>
        <w:t xml:space="preserve">tariff </w:t>
      </w:r>
      <w:r w:rsidRPr="00E05739">
        <w:rPr>
          <w:lang w:val="en-CA"/>
        </w:rPr>
        <w:t>price levels themselves are fairly</w:t>
      </w:r>
      <w:r>
        <w:rPr>
          <w:lang w:val="en-CA"/>
        </w:rPr>
        <w:t> </w:t>
      </w:r>
      <w:r w:rsidRPr="00E05739">
        <w:rPr>
          <w:lang w:val="en-CA"/>
        </w:rPr>
        <w:t xml:space="preserve">different. </w:t>
      </w:r>
    </w:p>
    <w:p w:rsidR="006A7080" w:rsidRDefault="006A7080" w:rsidP="006A7080">
      <w:pPr>
        <w:pStyle w:val="BodyParagraph"/>
      </w:pPr>
      <w:r>
        <w:t>Tables 2-1 and 2-2 provide examples of the default CPP and opt-out TOU rates at each utility</w:t>
      </w:r>
      <w:proofErr w:type="gramStart"/>
      <w:r>
        <w:t xml:space="preserve">.  </w:t>
      </w:r>
      <w:proofErr w:type="gramEnd"/>
      <w:r>
        <w:t>There are a number of different CPP rates at each utility, which vary with customer size and service voltage level</w:t>
      </w:r>
      <w:proofErr w:type="gramStart"/>
      <w:r>
        <w:t xml:space="preserve">.  </w:t>
      </w:r>
      <w:proofErr w:type="gramEnd"/>
      <w:r>
        <w:t>These various CPP rates also change over time due to periodic rate changes</w:t>
      </w:r>
      <w:proofErr w:type="gramStart"/>
      <w:r>
        <w:t xml:space="preserve">.  </w:t>
      </w:r>
      <w:proofErr w:type="gramEnd"/>
      <w:r>
        <w:t xml:space="preserve">Tables 2-1 and 2-2 illustrate that the </w:t>
      </w:r>
      <w:r w:rsidRPr="00B17CAA">
        <w:t>rate components</w:t>
      </w:r>
      <w:r>
        <w:t>, credits</w:t>
      </w:r>
      <w:r w:rsidRPr="00B17CAA">
        <w:t xml:space="preserve"> and charges</w:t>
      </w:r>
      <w:r>
        <w:t xml:space="preserve"> vary significantly across the utilities</w:t>
      </w:r>
      <w:proofErr w:type="gramStart"/>
      <w:r>
        <w:t xml:space="preserve">.  </w:t>
      </w:r>
      <w:proofErr w:type="gramEnd"/>
      <w:r>
        <w:t xml:space="preserve">Seasonal definitions also differ across the IOUs: </w:t>
      </w:r>
      <w:r w:rsidRPr="00B17CAA">
        <w:t>PG&amp;E define</w:t>
      </w:r>
      <w:r>
        <w:t>s summer as the period from May through October</w:t>
      </w:r>
      <w:r w:rsidR="00693B04">
        <w:t>;</w:t>
      </w:r>
      <w:r w:rsidRPr="00B17CAA">
        <w:t xml:space="preserve"> while</w:t>
      </w:r>
      <w:r>
        <w:t xml:space="preserve"> SDG&amp;E defines summer as May</w:t>
      </w:r>
      <w:r w:rsidRPr="00B17CAA">
        <w:t xml:space="preserve"> </w:t>
      </w:r>
      <w:r>
        <w:t>through September</w:t>
      </w:r>
      <w:r w:rsidR="00693B04">
        <w:t>;</w:t>
      </w:r>
      <w:r>
        <w:t xml:space="preserve"> and SCE defines sum</w:t>
      </w:r>
      <w:r w:rsidR="00CB5473">
        <w:t>mer as June through September.</w:t>
      </w:r>
    </w:p>
    <w:p w:rsidR="006A7080" w:rsidRDefault="006A7080" w:rsidP="006A7080">
      <w:pPr>
        <w:pStyle w:val="BodyParagraph"/>
      </w:pPr>
      <w:r w:rsidRPr="00C030E8">
        <w:t xml:space="preserve">The </w:t>
      </w:r>
      <w:r>
        <w:t>critical peak price is typically an</w:t>
      </w:r>
      <w:r w:rsidRPr="00C030E8">
        <w:t xml:space="preserve"> adder</w:t>
      </w:r>
      <w:r>
        <w:t>, in effect during CPP hours, which</w:t>
      </w:r>
      <w:r w:rsidRPr="00C030E8">
        <w:t xml:space="preserve"> varies from </w:t>
      </w:r>
      <w:r>
        <w:t>a low of $1.20</w:t>
      </w:r>
      <w:r w:rsidRPr="00C030E8">
        <w:t xml:space="preserve">/kWh for </w:t>
      </w:r>
      <w:r>
        <w:t xml:space="preserve">PG&amp;E E-19 and SDG&amp;E AL-TOU </w:t>
      </w:r>
      <w:r w:rsidRPr="00C030E8">
        <w:t xml:space="preserve">to </w:t>
      </w:r>
      <w:r>
        <w:t xml:space="preserve">a high of </w:t>
      </w:r>
      <w:r w:rsidRPr="00C030E8">
        <w:t>$1.</w:t>
      </w:r>
      <w:r>
        <w:t>37</w:t>
      </w:r>
      <w:r w:rsidRPr="00C030E8">
        <w:t xml:space="preserve">/kWh for </w:t>
      </w:r>
      <w:r>
        <w:t>SC</w:t>
      </w:r>
      <w:r w:rsidRPr="00C030E8">
        <w:t xml:space="preserve">E </w:t>
      </w:r>
      <w:r>
        <w:t>TOU-GS-3</w:t>
      </w:r>
      <w:r w:rsidRPr="00C030E8">
        <w:t xml:space="preserve"> customers</w:t>
      </w:r>
      <w:proofErr w:type="gramStart"/>
      <w:r>
        <w:t xml:space="preserve">.  </w:t>
      </w:r>
      <w:proofErr w:type="gramEnd"/>
      <w:r>
        <w:t>The CPP credits take the form of reduced demand charges ($/kW), reduced consumption charges ($/kWh), or both</w:t>
      </w:r>
      <w:proofErr w:type="gramStart"/>
      <w:r>
        <w:t xml:space="preserve">.  </w:t>
      </w:r>
      <w:proofErr w:type="gramEnd"/>
      <w:r>
        <w:t>Customers on CPP experience on-peak demand credits</w:t>
      </w:r>
      <w:r w:rsidR="00C7254E">
        <w:t> </w:t>
      </w:r>
      <w:r>
        <w:t>that also vary substantially across utilities, ranging from</w:t>
      </w:r>
      <w:r w:rsidR="00693B04">
        <w:t>:</w:t>
      </w:r>
      <w:r>
        <w:t xml:space="preserve"> $6.37 per kW for PG&amp;E E-19 customers</w:t>
      </w:r>
      <w:r w:rsidR="00693B04">
        <w:t>;</w:t>
      </w:r>
      <w:r>
        <w:t xml:space="preserve"> to $9.77 per kW for SDG&amp;E AL-TOU customers</w:t>
      </w:r>
      <w:r w:rsidR="00693B04">
        <w:t>;</w:t>
      </w:r>
      <w:r>
        <w:t xml:space="preserve"> and $11.4</w:t>
      </w:r>
      <w:r w:rsidR="00CB5473">
        <w:t>4</w:t>
      </w:r>
      <w:r>
        <w:t xml:space="preserve"> per </w:t>
      </w:r>
      <w:r w:rsidRPr="00C030E8">
        <w:t>kW for SCE customers</w:t>
      </w:r>
      <w:r>
        <w:t xml:space="preserve"> on TOU-GS-3</w:t>
      </w:r>
      <w:proofErr w:type="gramStart"/>
      <w:r>
        <w:t xml:space="preserve">.  </w:t>
      </w:r>
      <w:proofErr w:type="gramEnd"/>
      <w:r>
        <w:t xml:space="preserve">While </w:t>
      </w:r>
      <w:r w:rsidR="00176128">
        <w:t xml:space="preserve">the </w:t>
      </w:r>
      <w:r>
        <w:t xml:space="preserve">utilities </w:t>
      </w:r>
      <w:r w:rsidR="00693B04">
        <w:t>can</w:t>
      </w:r>
      <w:r>
        <w:t xml:space="preserve"> offer energy credits for non-event periods, </w:t>
      </w:r>
      <w:r w:rsidR="00FC48DE">
        <w:t xml:space="preserve">for most participants, </w:t>
      </w:r>
      <w:r>
        <w:t>S</w:t>
      </w:r>
      <w:r w:rsidRPr="00C030E8">
        <w:t>CE does not</w:t>
      </w:r>
      <w:r>
        <w:t xml:space="preserve"> and both PG&amp;E and SDG&amp;E’s are currently set to $0 per kWh</w:t>
      </w:r>
      <w:proofErr w:type="gramStart"/>
      <w:r w:rsidRPr="00C030E8">
        <w:t xml:space="preserve">.  </w:t>
      </w:r>
      <w:proofErr w:type="gramEnd"/>
      <w:r w:rsidRPr="00BA6F0C">
        <w:t>SDG&amp;E’s peak energy and demand credits come in the form of a difference between the</w:t>
      </w:r>
      <w:r>
        <w:t xml:space="preserve"> energy</w:t>
      </w:r>
      <w:r w:rsidR="00C7254E">
        <w:t> </w:t>
      </w:r>
      <w:r>
        <w:t>and demand</w:t>
      </w:r>
      <w:r w:rsidRPr="00BA6F0C">
        <w:t xml:space="preserve"> rate</w:t>
      </w:r>
      <w:r>
        <w:t>s</w:t>
      </w:r>
      <w:r w:rsidRPr="00BA6F0C">
        <w:t xml:space="preserve"> that CPP customers pay and</w:t>
      </w:r>
      <w:r>
        <w:t xml:space="preserve"> energy and demand</w:t>
      </w:r>
      <w:r w:rsidRPr="00BA6F0C">
        <w:t xml:space="preserve"> rate</w:t>
      </w:r>
      <w:r>
        <w:t>s</w:t>
      </w:r>
      <w:r w:rsidRPr="00BA6F0C">
        <w:t xml:space="preserve"> under the OAT, </w:t>
      </w:r>
      <w:r>
        <w:t>rather than as explicit credits</w:t>
      </w:r>
      <w:proofErr w:type="gramStart"/>
      <w:r>
        <w:t xml:space="preserve">.  </w:t>
      </w:r>
      <w:proofErr w:type="gramEnd"/>
      <w:r>
        <w:t>The difference in summer on-peak demand charges is $9.77 per kW and the differences in energy charges are $0.00 per kWh</w:t>
      </w:r>
      <w:proofErr w:type="gramStart"/>
      <w:r>
        <w:t xml:space="preserve">. </w:t>
      </w:r>
      <w:r w:rsidRPr="00BA6F0C">
        <w:t xml:space="preserve"> </w:t>
      </w:r>
      <w:proofErr w:type="gramEnd"/>
      <w:r w:rsidRPr="00BA6F0C">
        <w:t xml:space="preserve">The </w:t>
      </w:r>
      <w:r>
        <w:t>impact</w:t>
      </w:r>
      <w:r w:rsidRPr="00BA6F0C">
        <w:t xml:space="preserve"> on customer bills is the same</w:t>
      </w:r>
      <w:r w:rsidR="00693B04">
        <w:t> </w:t>
      </w:r>
      <w:r w:rsidRPr="00BA6F0C">
        <w:t>as</w:t>
      </w:r>
      <w:r w:rsidR="00693B04">
        <w:t> </w:t>
      </w:r>
      <w:r>
        <w:t xml:space="preserve">that of </w:t>
      </w:r>
      <w:r w:rsidRPr="00BA6F0C">
        <w:t>a</w:t>
      </w:r>
      <w:r>
        <w:t>n explicit</w:t>
      </w:r>
      <w:r w:rsidRPr="00BA6F0C">
        <w:t xml:space="preserve"> credit.</w:t>
      </w:r>
    </w:p>
    <w:p w:rsidR="006A7080" w:rsidRDefault="006A7080" w:rsidP="006A7080">
      <w:pPr>
        <w:pStyle w:val="TableFigureCaption"/>
      </w:pPr>
      <w:r w:rsidRPr="0094595E">
        <w:lastRenderedPageBreak/>
        <w:t xml:space="preserve">Table 2-1: Example </w:t>
      </w:r>
      <w:r>
        <w:t xml:space="preserve">Summer </w:t>
      </w:r>
      <w:r w:rsidRPr="0094595E">
        <w:t xml:space="preserve">Default CPP Rates at PG&amp;E, </w:t>
      </w:r>
      <w:proofErr w:type="gramStart"/>
      <w:r w:rsidRPr="0094595E">
        <w:t>SCE</w:t>
      </w:r>
      <w:proofErr w:type="gramEnd"/>
      <w:r w:rsidRPr="0094595E">
        <w:t xml:space="preserve"> and SDG&amp;E</w:t>
      </w:r>
      <w:r w:rsidRPr="008C79B1">
        <w:rPr>
          <w:rStyle w:val="FootnoteReference"/>
        </w:rPr>
        <w:footnoteReference w:id="5"/>
      </w:r>
    </w:p>
    <w:tbl>
      <w:tblPr>
        <w:tblW w:w="5179" w:type="pct"/>
        <w:tblLayout w:type="fixed"/>
        <w:tblLook w:val="04A0" w:firstRow="1" w:lastRow="0" w:firstColumn="1" w:lastColumn="0" w:noHBand="0" w:noVBand="1"/>
      </w:tblPr>
      <w:tblGrid>
        <w:gridCol w:w="1079"/>
        <w:gridCol w:w="1353"/>
        <w:gridCol w:w="1996"/>
        <w:gridCol w:w="2144"/>
        <w:gridCol w:w="1077"/>
        <w:gridCol w:w="1258"/>
        <w:gridCol w:w="1012"/>
      </w:tblGrid>
      <w:tr w:rsidR="00BE3126" w:rsidRPr="00B2581A" w:rsidTr="00BE3126">
        <w:trPr>
          <w:trHeight w:val="315"/>
        </w:trPr>
        <w:tc>
          <w:tcPr>
            <w:tcW w:w="544" w:type="pct"/>
            <w:vMerge w:val="restart"/>
            <w:tcBorders>
              <w:top w:val="single" w:sz="8" w:space="0" w:color="000000"/>
              <w:left w:val="single" w:sz="8" w:space="0" w:color="000000"/>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bookmarkStart w:id="45" w:name="_Toc326072093"/>
            <w:bookmarkStart w:id="46" w:name="_Toc352323623"/>
            <w:r w:rsidRPr="00B2581A">
              <w:rPr>
                <w:rFonts w:eastAsia="Times New Roman"/>
              </w:rPr>
              <w:t>Season</w:t>
            </w:r>
          </w:p>
        </w:tc>
        <w:tc>
          <w:tcPr>
            <w:tcW w:w="682"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TOU/CPP Component</w:t>
            </w:r>
          </w:p>
        </w:tc>
        <w:tc>
          <w:tcPr>
            <w:tcW w:w="1006"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Type of Charge/Credit</w:t>
            </w:r>
          </w:p>
        </w:tc>
        <w:tc>
          <w:tcPr>
            <w:tcW w:w="1081"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Period</w:t>
            </w:r>
          </w:p>
        </w:tc>
        <w:tc>
          <w:tcPr>
            <w:tcW w:w="1687" w:type="pct"/>
            <w:gridSpan w:val="3"/>
            <w:tcBorders>
              <w:top w:val="single" w:sz="8" w:space="0" w:color="000000"/>
              <w:left w:val="nil"/>
              <w:bottom w:val="single" w:sz="8" w:space="0" w:color="FFFFFF"/>
              <w:right w:val="single" w:sz="8" w:space="0" w:color="000000"/>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Rate</w:t>
            </w:r>
          </w:p>
        </w:tc>
      </w:tr>
      <w:tr w:rsidR="00BE3126" w:rsidRPr="00B2581A" w:rsidTr="00BE3126">
        <w:trPr>
          <w:trHeight w:val="908"/>
        </w:trPr>
        <w:tc>
          <w:tcPr>
            <w:tcW w:w="544" w:type="pct"/>
            <w:vMerge/>
            <w:tcBorders>
              <w:top w:val="single" w:sz="8" w:space="0" w:color="000000"/>
              <w:left w:val="single" w:sz="8" w:space="0" w:color="000000"/>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p>
        </w:tc>
        <w:tc>
          <w:tcPr>
            <w:tcW w:w="682"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p>
        </w:tc>
        <w:tc>
          <w:tcPr>
            <w:tcW w:w="1006"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p>
        </w:tc>
        <w:tc>
          <w:tcPr>
            <w:tcW w:w="1081"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p>
        </w:tc>
        <w:tc>
          <w:tcPr>
            <w:tcW w:w="543" w:type="pct"/>
            <w:tcBorders>
              <w:top w:val="nil"/>
              <w:left w:val="single" w:sz="8" w:space="0" w:color="FFFFFF"/>
              <w:bottom w:val="single" w:sz="8" w:space="0" w:color="000000"/>
              <w:right w:val="single" w:sz="8" w:space="0" w:color="FFFFFF"/>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 xml:space="preserve">PG&amp;E </w:t>
            </w:r>
            <w:r>
              <w:rPr>
                <w:rFonts w:eastAsia="Times New Roman"/>
              </w:rPr>
              <w:br/>
            </w:r>
            <w:r w:rsidRPr="00B2581A">
              <w:rPr>
                <w:rFonts w:eastAsia="Times New Roman"/>
              </w:rPr>
              <w:t>E-19</w:t>
            </w:r>
          </w:p>
        </w:tc>
        <w:tc>
          <w:tcPr>
            <w:tcW w:w="634" w:type="pct"/>
            <w:tcBorders>
              <w:top w:val="nil"/>
              <w:left w:val="nil"/>
              <w:bottom w:val="single" w:sz="4" w:space="0" w:color="auto"/>
              <w:right w:val="single" w:sz="8" w:space="0" w:color="FFFFFF"/>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SCE</w:t>
            </w:r>
          </w:p>
          <w:p w:rsidR="006A7080" w:rsidRPr="00B2581A" w:rsidRDefault="006A7080" w:rsidP="003B398F">
            <w:pPr>
              <w:pStyle w:val="TableHeader"/>
              <w:rPr>
                <w:rFonts w:eastAsia="Times New Roman"/>
              </w:rPr>
            </w:pPr>
            <w:r w:rsidRPr="00B2581A">
              <w:rPr>
                <w:rFonts w:eastAsia="Times New Roman"/>
              </w:rPr>
              <w:t>TOU-GS-3</w:t>
            </w:r>
          </w:p>
        </w:tc>
        <w:tc>
          <w:tcPr>
            <w:tcW w:w="510" w:type="pct"/>
            <w:tcBorders>
              <w:top w:val="nil"/>
              <w:left w:val="nil"/>
              <w:bottom w:val="single" w:sz="4" w:space="0" w:color="auto"/>
              <w:right w:val="single" w:sz="8" w:space="0" w:color="000000"/>
            </w:tcBorders>
            <w:shd w:val="clear" w:color="auto" w:fill="0070CD"/>
            <w:vAlign w:val="center"/>
            <w:hideMark/>
          </w:tcPr>
          <w:p w:rsidR="006A7080" w:rsidRPr="00B2581A" w:rsidRDefault="006A7080" w:rsidP="003B398F">
            <w:pPr>
              <w:pStyle w:val="TableHeader"/>
              <w:rPr>
                <w:rFonts w:eastAsia="Times New Roman"/>
              </w:rPr>
            </w:pPr>
            <w:r w:rsidRPr="00B2581A">
              <w:rPr>
                <w:rFonts w:eastAsia="Times New Roman"/>
              </w:rPr>
              <w:t>SDG&amp;E</w:t>
            </w:r>
          </w:p>
          <w:p w:rsidR="006A7080" w:rsidRPr="00B2581A" w:rsidRDefault="006A7080" w:rsidP="003B398F">
            <w:pPr>
              <w:pStyle w:val="TableHeader"/>
              <w:rPr>
                <w:rFonts w:eastAsia="Times New Roman"/>
              </w:rPr>
            </w:pPr>
            <w:r w:rsidRPr="00B2581A">
              <w:rPr>
                <w:rFonts w:eastAsia="Times New Roman"/>
              </w:rPr>
              <w:t>AL-TOU</w:t>
            </w:r>
          </w:p>
        </w:tc>
      </w:tr>
      <w:tr w:rsidR="00BE3126" w:rsidRPr="00B2581A" w:rsidTr="00BE3126">
        <w:trPr>
          <w:trHeight w:val="315"/>
        </w:trPr>
        <w:tc>
          <w:tcPr>
            <w:tcW w:w="544"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Summer</w:t>
            </w:r>
          </w:p>
        </w:tc>
        <w:tc>
          <w:tcPr>
            <w:tcW w:w="682"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TOU Component</w:t>
            </w:r>
          </w:p>
        </w:tc>
        <w:tc>
          <w:tcPr>
            <w:tcW w:w="1006"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Energy Charges (per kWh)</w:t>
            </w: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On-peak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$0.16 </w:t>
            </w:r>
          </w:p>
        </w:tc>
        <w:tc>
          <w:tcPr>
            <w:tcW w:w="634" w:type="pct"/>
            <w:tcBorders>
              <w:top w:val="single" w:sz="4" w:space="0" w:color="auto"/>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$0.13 </w:t>
            </w:r>
          </w:p>
        </w:tc>
        <w:tc>
          <w:tcPr>
            <w:tcW w:w="510" w:type="pct"/>
            <w:tcBorders>
              <w:top w:val="single" w:sz="4" w:space="0" w:color="auto"/>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$0.12 </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Semi-peak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$0.11 </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$0.08 </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$0.11</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Off-peak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$0.08 </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$0.06 </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$0.08</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Demand Charges (per kW)</w:t>
            </w: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On-peak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$17.65 </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$18.83 </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$19.81 </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Semi-peak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$4.07 </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$5.52 </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NA</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Maximum</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$12.56 </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$16.14 </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$21.84 </w:t>
            </w:r>
          </w:p>
        </w:tc>
      </w:tr>
      <w:tr w:rsidR="00BE3126" w:rsidRPr="00B2581A" w:rsidTr="00BE3126">
        <w:trPr>
          <w:trHeight w:val="376"/>
        </w:trPr>
        <w:tc>
          <w:tcPr>
            <w:tcW w:w="544"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682" w:type="pct"/>
            <w:vMerge w:val="restart"/>
            <w:tcBorders>
              <w:top w:val="nil"/>
              <w:left w:val="single" w:sz="8" w:space="0" w:color="000000"/>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r w:rsidRPr="00B2581A">
              <w:rPr>
                <w:rFonts w:eastAsia="Times New Roman"/>
              </w:rPr>
              <w:t>CPP Component</w:t>
            </w:r>
          </w:p>
        </w:tc>
        <w:tc>
          <w:tcPr>
            <w:tcW w:w="1006" w:type="pct"/>
            <w:vMerge w:val="restart"/>
            <w:tcBorders>
              <w:top w:val="nil"/>
              <w:left w:val="nil"/>
              <w:right w:val="single" w:sz="8" w:space="0" w:color="000000"/>
            </w:tcBorders>
            <w:shd w:val="clear" w:color="auto" w:fill="auto"/>
            <w:vAlign w:val="center"/>
            <w:hideMark/>
          </w:tcPr>
          <w:p w:rsidR="00BE3126" w:rsidRPr="00B2581A" w:rsidRDefault="00BE3126" w:rsidP="00BE3126">
            <w:pPr>
              <w:pStyle w:val="TableText"/>
              <w:contextualSpacing/>
              <w:rPr>
                <w:rFonts w:eastAsia="Times New Roman"/>
              </w:rPr>
            </w:pPr>
            <w:r w:rsidRPr="00B2581A">
              <w:rPr>
                <w:rFonts w:eastAsia="Times New Roman"/>
              </w:rPr>
              <w:t>Energy Charges and Credits</w:t>
            </w:r>
          </w:p>
          <w:p w:rsidR="00BE3126" w:rsidRPr="00B2581A" w:rsidRDefault="00BE3126" w:rsidP="00BE3126">
            <w:pPr>
              <w:pStyle w:val="TableText"/>
              <w:contextualSpacing/>
              <w:rPr>
                <w:rFonts w:eastAsia="Times New Roman"/>
              </w:rPr>
            </w:pPr>
            <w:r w:rsidRPr="00B2581A">
              <w:rPr>
                <w:rFonts w:eastAsia="Times New Roman"/>
              </w:rPr>
              <w:t>(per kWh)</w:t>
            </w:r>
          </w:p>
        </w:tc>
        <w:tc>
          <w:tcPr>
            <w:tcW w:w="1081" w:type="pct"/>
            <w:tcBorders>
              <w:top w:val="nil"/>
              <w:left w:val="nil"/>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r w:rsidRPr="00B2581A">
              <w:rPr>
                <w:rFonts w:eastAsia="Times New Roman"/>
              </w:rPr>
              <w:t>CPP Event Adder</w:t>
            </w:r>
          </w:p>
        </w:tc>
        <w:tc>
          <w:tcPr>
            <w:tcW w:w="543"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 xml:space="preserve">$1.20 </w:t>
            </w:r>
          </w:p>
        </w:tc>
        <w:tc>
          <w:tcPr>
            <w:tcW w:w="634"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 xml:space="preserve">$1.37 </w:t>
            </w:r>
          </w:p>
        </w:tc>
        <w:tc>
          <w:tcPr>
            <w:tcW w:w="510"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 xml:space="preserve">$1.20 </w:t>
            </w:r>
          </w:p>
        </w:tc>
      </w:tr>
      <w:tr w:rsidR="00BE3126" w:rsidRPr="00B2581A" w:rsidTr="002301A0">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1006" w:type="pct"/>
            <w:vMerge/>
            <w:tcBorders>
              <w:left w:val="nil"/>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r w:rsidRPr="00B2581A">
              <w:rPr>
                <w:rFonts w:eastAsia="Times New Roman"/>
              </w:rPr>
              <w:t>On-peak</w:t>
            </w:r>
          </w:p>
        </w:tc>
        <w:tc>
          <w:tcPr>
            <w:tcW w:w="543"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 xml:space="preserve">$0.00 </w:t>
            </w:r>
          </w:p>
        </w:tc>
        <w:tc>
          <w:tcPr>
            <w:tcW w:w="634"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NA</w:t>
            </w:r>
          </w:p>
        </w:tc>
        <w:tc>
          <w:tcPr>
            <w:tcW w:w="510"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color w:val="FF0000"/>
              </w:rPr>
            </w:pPr>
            <w:r>
              <w:rPr>
                <w:rFonts w:eastAsia="Times New Roman"/>
              </w:rPr>
              <w:t>$0.00</w:t>
            </w:r>
          </w:p>
        </w:tc>
      </w:tr>
      <w:tr w:rsidR="00BE3126" w:rsidRPr="00B2581A" w:rsidTr="002301A0">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1006" w:type="pct"/>
            <w:vMerge/>
            <w:tcBorders>
              <w:left w:val="nil"/>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r w:rsidRPr="00B2581A">
              <w:rPr>
                <w:rFonts w:eastAsia="Times New Roman"/>
              </w:rPr>
              <w:t>Semi-peak</w:t>
            </w:r>
          </w:p>
        </w:tc>
        <w:tc>
          <w:tcPr>
            <w:tcW w:w="543"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 xml:space="preserve">$0.00 </w:t>
            </w:r>
          </w:p>
        </w:tc>
        <w:tc>
          <w:tcPr>
            <w:tcW w:w="634"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NA</w:t>
            </w:r>
          </w:p>
        </w:tc>
        <w:tc>
          <w:tcPr>
            <w:tcW w:w="510"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color w:val="FF0000"/>
              </w:rPr>
            </w:pPr>
            <w:r w:rsidRPr="005B418D">
              <w:rPr>
                <w:rFonts w:eastAsia="Times New Roman"/>
              </w:rPr>
              <w:t>$0.00</w:t>
            </w:r>
          </w:p>
        </w:tc>
      </w:tr>
      <w:tr w:rsidR="00BE3126" w:rsidRPr="00B2581A" w:rsidTr="002301A0">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BE3126" w:rsidRPr="00B2581A" w:rsidRDefault="00BE3126" w:rsidP="003B398F">
            <w:pPr>
              <w:pStyle w:val="TableText"/>
              <w:contextualSpacing/>
              <w:rPr>
                <w:rFonts w:eastAsia="Times New Roman"/>
              </w:rPr>
            </w:pPr>
          </w:p>
        </w:tc>
        <w:tc>
          <w:tcPr>
            <w:tcW w:w="1006" w:type="pct"/>
            <w:vMerge/>
            <w:tcBorders>
              <w:left w:val="nil"/>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p>
        </w:tc>
        <w:tc>
          <w:tcPr>
            <w:tcW w:w="1081" w:type="pct"/>
            <w:tcBorders>
              <w:top w:val="nil"/>
              <w:left w:val="nil"/>
              <w:bottom w:val="single" w:sz="8" w:space="0" w:color="000000"/>
              <w:right w:val="single" w:sz="8" w:space="0" w:color="000000"/>
            </w:tcBorders>
            <w:shd w:val="clear" w:color="auto" w:fill="auto"/>
            <w:vAlign w:val="center"/>
            <w:hideMark/>
          </w:tcPr>
          <w:p w:rsidR="00BE3126" w:rsidRPr="00B2581A" w:rsidRDefault="00BE3126" w:rsidP="003B398F">
            <w:pPr>
              <w:pStyle w:val="TableText"/>
              <w:contextualSpacing/>
              <w:rPr>
                <w:rFonts w:eastAsia="Times New Roman"/>
              </w:rPr>
            </w:pPr>
            <w:r w:rsidRPr="00B2581A">
              <w:rPr>
                <w:rFonts w:eastAsia="Times New Roman"/>
              </w:rPr>
              <w:t>Off-peak</w:t>
            </w:r>
          </w:p>
        </w:tc>
        <w:tc>
          <w:tcPr>
            <w:tcW w:w="543"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NA</w:t>
            </w:r>
          </w:p>
        </w:tc>
        <w:tc>
          <w:tcPr>
            <w:tcW w:w="634"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rPr>
            </w:pPr>
            <w:r w:rsidRPr="00071CD4">
              <w:rPr>
                <w:rFonts w:eastAsia="Times New Roman"/>
              </w:rPr>
              <w:t>NA</w:t>
            </w:r>
          </w:p>
        </w:tc>
        <w:tc>
          <w:tcPr>
            <w:tcW w:w="510" w:type="pct"/>
            <w:tcBorders>
              <w:top w:val="nil"/>
              <w:left w:val="nil"/>
              <w:bottom w:val="single" w:sz="8" w:space="0" w:color="000000"/>
              <w:right w:val="single" w:sz="8" w:space="0" w:color="000000"/>
            </w:tcBorders>
            <w:shd w:val="clear" w:color="auto" w:fill="auto"/>
            <w:vAlign w:val="center"/>
            <w:hideMark/>
          </w:tcPr>
          <w:p w:rsidR="00BE3126" w:rsidRPr="00071CD4" w:rsidRDefault="00BE3126" w:rsidP="003B398F">
            <w:pPr>
              <w:pStyle w:val="TableText"/>
              <w:contextualSpacing/>
              <w:rPr>
                <w:rFonts w:eastAsia="Times New Roman"/>
                <w:color w:val="FF0000"/>
              </w:rPr>
            </w:pPr>
            <w:r w:rsidRPr="005B418D">
              <w:rPr>
                <w:rFonts w:eastAsia="Times New Roman"/>
              </w:rPr>
              <w:t>$0.00</w:t>
            </w:r>
          </w:p>
        </w:tc>
      </w:tr>
      <w:tr w:rsidR="00BE3126" w:rsidRPr="00B2581A" w:rsidTr="00BE3126">
        <w:trPr>
          <w:trHeight w:val="331"/>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tcBorders>
              <w:top w:val="nil"/>
              <w:left w:val="nil"/>
              <w:bottom w:val="nil"/>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Demand Credits</w:t>
            </w:r>
          </w:p>
        </w:tc>
        <w:tc>
          <w:tcPr>
            <w:tcW w:w="1081" w:type="pct"/>
            <w:tcBorders>
              <w:top w:val="nil"/>
              <w:left w:val="nil"/>
              <w:bottom w:val="single" w:sz="8" w:space="0" w:color="000000"/>
              <w:right w:val="single" w:sz="8" w:space="0" w:color="000000"/>
            </w:tcBorders>
            <w:shd w:val="clear" w:color="auto" w:fill="auto"/>
            <w:vAlign w:val="center"/>
            <w:hideMark/>
          </w:tcPr>
          <w:p w:rsidR="006A7080" w:rsidRPr="00BE3126" w:rsidRDefault="006A7080" w:rsidP="003B398F">
            <w:pPr>
              <w:pStyle w:val="TableText"/>
              <w:contextualSpacing/>
              <w:rPr>
                <w:rFonts w:eastAsia="Times New Roman"/>
              </w:rPr>
            </w:pPr>
            <w:r w:rsidRPr="00BE3126">
              <w:rPr>
                <w:rFonts w:eastAsia="Times New Roman"/>
              </w:rPr>
              <w:t>On-peak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color w:val="FF0000"/>
              </w:rPr>
            </w:pPr>
            <w:r w:rsidRPr="00071CD4">
              <w:rPr>
                <w:rFonts w:eastAsia="Times New Roman"/>
                <w:color w:val="FF0000"/>
              </w:rPr>
              <w:t>($6.37)</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color w:val="FF0000"/>
              </w:rPr>
            </w:pPr>
            <w:r w:rsidRPr="00CE17D8">
              <w:rPr>
                <w:rFonts w:eastAsia="Times New Roman"/>
                <w:color w:val="FF0000"/>
              </w:rPr>
              <w:t>($11.44)</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color w:val="FF0000"/>
              </w:rPr>
            </w:pPr>
            <w:r w:rsidRPr="00CE17D8">
              <w:rPr>
                <w:rFonts w:eastAsia="Times New Roman"/>
                <w:color w:val="FF0000"/>
              </w:rPr>
              <w:t>($9.77)</w:t>
            </w:r>
          </w:p>
        </w:tc>
      </w:tr>
      <w:tr w:rsidR="00BE3126" w:rsidRPr="00B2581A" w:rsidTr="00BE3126">
        <w:trPr>
          <w:trHeight w:val="315"/>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tcBorders>
              <w:top w:val="nil"/>
              <w:left w:val="nil"/>
              <w:bottom w:val="single" w:sz="8" w:space="0" w:color="000000"/>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(per kW)</w:t>
            </w:r>
          </w:p>
        </w:tc>
        <w:tc>
          <w:tcPr>
            <w:tcW w:w="1081" w:type="pct"/>
            <w:tcBorders>
              <w:top w:val="nil"/>
              <w:left w:val="nil"/>
              <w:bottom w:val="single" w:sz="8" w:space="0" w:color="000000"/>
              <w:right w:val="single" w:sz="8" w:space="0" w:color="000000"/>
            </w:tcBorders>
            <w:shd w:val="clear" w:color="auto" w:fill="auto"/>
            <w:vAlign w:val="center"/>
            <w:hideMark/>
          </w:tcPr>
          <w:p w:rsidR="006A7080" w:rsidRPr="00BE3126" w:rsidRDefault="006A7080" w:rsidP="003B398F">
            <w:pPr>
              <w:pStyle w:val="TableText"/>
              <w:contextualSpacing/>
              <w:rPr>
                <w:rFonts w:eastAsia="Times New Roman"/>
              </w:rPr>
            </w:pPr>
            <w:r w:rsidRPr="00BE3126">
              <w:rPr>
                <w:rFonts w:eastAsia="Times New Roman"/>
              </w:rPr>
              <w:t>Semi-peak</w:t>
            </w:r>
          </w:p>
        </w:tc>
        <w:tc>
          <w:tcPr>
            <w:tcW w:w="543" w:type="pct"/>
            <w:tcBorders>
              <w:top w:val="nil"/>
              <w:left w:val="nil"/>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color w:val="FF0000"/>
              </w:rPr>
            </w:pPr>
            <w:r w:rsidRPr="00071CD4">
              <w:rPr>
                <w:rFonts w:eastAsia="Times New Roman"/>
                <w:color w:val="FF0000"/>
              </w:rPr>
              <w:t>($1.38)</w:t>
            </w:r>
          </w:p>
        </w:tc>
        <w:tc>
          <w:tcPr>
            <w:tcW w:w="634" w:type="pct"/>
            <w:tcBorders>
              <w:top w:val="nil"/>
              <w:left w:val="nil"/>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rPr>
            </w:pPr>
            <w:r w:rsidRPr="00CE17D8">
              <w:rPr>
                <w:rFonts w:eastAsia="Times New Roman"/>
              </w:rPr>
              <w:t>NA</w:t>
            </w:r>
          </w:p>
        </w:tc>
        <w:tc>
          <w:tcPr>
            <w:tcW w:w="510" w:type="pct"/>
            <w:tcBorders>
              <w:top w:val="nil"/>
              <w:left w:val="nil"/>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rPr>
            </w:pPr>
            <w:r w:rsidRPr="00CE17D8">
              <w:rPr>
                <w:rFonts w:eastAsia="Times New Roman"/>
              </w:rPr>
              <w:t>NA</w:t>
            </w:r>
          </w:p>
        </w:tc>
      </w:tr>
      <w:tr w:rsidR="00BE3126" w:rsidRPr="00B2581A" w:rsidTr="00BE3126">
        <w:trPr>
          <w:trHeight w:val="953"/>
        </w:trPr>
        <w:tc>
          <w:tcPr>
            <w:tcW w:w="544"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682" w:type="pct"/>
            <w:vMerge/>
            <w:tcBorders>
              <w:top w:val="nil"/>
              <w:left w:val="single" w:sz="8" w:space="0" w:color="000000"/>
              <w:bottom w:val="single" w:sz="8" w:space="0" w:color="000000"/>
              <w:right w:val="single" w:sz="8" w:space="0" w:color="000000"/>
            </w:tcBorders>
            <w:vAlign w:val="center"/>
            <w:hideMark/>
          </w:tcPr>
          <w:p w:rsidR="006A7080" w:rsidRPr="00B2581A" w:rsidRDefault="006A7080" w:rsidP="003B398F">
            <w:pPr>
              <w:pStyle w:val="TableText"/>
              <w:contextualSpacing/>
              <w:rPr>
                <w:rFonts w:eastAsia="Times New Roman"/>
              </w:rPr>
            </w:pPr>
          </w:p>
        </w:tc>
        <w:tc>
          <w:tcPr>
            <w:tcW w:w="1006" w:type="pct"/>
            <w:tcBorders>
              <w:top w:val="nil"/>
              <w:left w:val="nil"/>
              <w:bottom w:val="single" w:sz="4" w:space="0" w:color="auto"/>
              <w:right w:val="single" w:sz="8" w:space="0" w:color="000000"/>
            </w:tcBorders>
            <w:shd w:val="clear" w:color="auto" w:fill="auto"/>
            <w:vAlign w:val="center"/>
            <w:hideMark/>
          </w:tcPr>
          <w:p w:rsidR="006A7080" w:rsidRPr="00B2581A" w:rsidRDefault="006A7080" w:rsidP="003B398F">
            <w:pPr>
              <w:pStyle w:val="TableText"/>
              <w:contextualSpacing/>
              <w:rPr>
                <w:rFonts w:eastAsia="Times New Roman"/>
              </w:rPr>
            </w:pPr>
            <w:r w:rsidRPr="00B2581A">
              <w:rPr>
                <w:rFonts w:eastAsia="Times New Roman"/>
              </w:rPr>
              <w:t>Capacity Reservation Charge</w:t>
            </w:r>
          </w:p>
          <w:p w:rsidR="006A7080" w:rsidRPr="00B2581A" w:rsidRDefault="006A7080" w:rsidP="003B398F">
            <w:pPr>
              <w:pStyle w:val="TableText"/>
              <w:contextualSpacing/>
              <w:rPr>
                <w:rFonts w:eastAsia="Times New Roman"/>
              </w:rPr>
            </w:pPr>
            <w:r w:rsidRPr="00B2581A">
              <w:rPr>
                <w:rFonts w:eastAsia="Times New Roman"/>
              </w:rPr>
              <w:t>(per kW per month)</w:t>
            </w:r>
          </w:p>
        </w:tc>
        <w:tc>
          <w:tcPr>
            <w:tcW w:w="1081" w:type="pct"/>
            <w:tcBorders>
              <w:top w:val="nil"/>
              <w:left w:val="single" w:sz="8" w:space="0" w:color="000000"/>
              <w:bottom w:val="single" w:sz="8" w:space="0" w:color="000000"/>
              <w:right w:val="single" w:sz="8" w:space="0" w:color="000000"/>
            </w:tcBorders>
            <w:shd w:val="clear" w:color="auto" w:fill="auto"/>
            <w:vAlign w:val="center"/>
            <w:hideMark/>
          </w:tcPr>
          <w:p w:rsidR="006A7080" w:rsidRPr="00BE3126" w:rsidRDefault="006A7080" w:rsidP="003B398F">
            <w:pPr>
              <w:pStyle w:val="TableText"/>
              <w:contextualSpacing/>
              <w:rPr>
                <w:rFonts w:eastAsia="Times New Roman"/>
              </w:rPr>
            </w:pPr>
            <w:r w:rsidRPr="00BE3126">
              <w:rPr>
                <w:rFonts w:eastAsia="Times New Roman"/>
              </w:rPr>
              <w:t>Summer</w:t>
            </w:r>
          </w:p>
        </w:tc>
        <w:tc>
          <w:tcPr>
            <w:tcW w:w="543" w:type="pct"/>
            <w:tcBorders>
              <w:top w:val="nil"/>
              <w:left w:val="single" w:sz="8" w:space="0" w:color="000000"/>
              <w:bottom w:val="single" w:sz="8" w:space="0" w:color="000000"/>
              <w:right w:val="single" w:sz="8" w:space="0" w:color="000000"/>
            </w:tcBorders>
            <w:shd w:val="clear" w:color="auto" w:fill="auto"/>
            <w:vAlign w:val="center"/>
            <w:hideMark/>
          </w:tcPr>
          <w:p w:rsidR="006A7080" w:rsidRPr="00071CD4" w:rsidRDefault="006A7080" w:rsidP="003B398F">
            <w:pPr>
              <w:pStyle w:val="TableText"/>
              <w:contextualSpacing/>
              <w:rPr>
                <w:rFonts w:eastAsia="Times New Roman"/>
              </w:rPr>
            </w:pPr>
            <w:r w:rsidRPr="00071CD4">
              <w:rPr>
                <w:rFonts w:eastAsia="Times New Roman"/>
              </w:rPr>
              <w:t xml:space="preserve">$12.94 </w:t>
            </w:r>
          </w:p>
        </w:tc>
        <w:tc>
          <w:tcPr>
            <w:tcW w:w="634" w:type="pct"/>
            <w:tcBorders>
              <w:top w:val="nil"/>
              <w:left w:val="single" w:sz="8" w:space="0" w:color="000000"/>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rPr>
            </w:pPr>
            <w:r w:rsidRPr="00CE17D8">
              <w:rPr>
                <w:rFonts w:eastAsia="Times New Roman"/>
              </w:rPr>
              <w:t xml:space="preserve">$11.44 </w:t>
            </w:r>
          </w:p>
        </w:tc>
        <w:tc>
          <w:tcPr>
            <w:tcW w:w="510" w:type="pct"/>
            <w:tcBorders>
              <w:top w:val="nil"/>
              <w:left w:val="single" w:sz="8" w:space="0" w:color="000000"/>
              <w:bottom w:val="single" w:sz="8" w:space="0" w:color="000000"/>
              <w:right w:val="single" w:sz="8" w:space="0" w:color="000000"/>
            </w:tcBorders>
            <w:shd w:val="clear" w:color="auto" w:fill="auto"/>
            <w:vAlign w:val="center"/>
            <w:hideMark/>
          </w:tcPr>
          <w:p w:rsidR="006A7080" w:rsidRPr="00CE17D8" w:rsidRDefault="006A7080" w:rsidP="003B398F">
            <w:pPr>
              <w:pStyle w:val="TableText"/>
              <w:contextualSpacing/>
              <w:rPr>
                <w:rFonts w:eastAsia="Times New Roman"/>
              </w:rPr>
            </w:pPr>
            <w:r w:rsidRPr="00CE17D8">
              <w:rPr>
                <w:rFonts w:eastAsia="Times New Roman"/>
              </w:rPr>
              <w:t xml:space="preserve">$5.44 </w:t>
            </w:r>
          </w:p>
        </w:tc>
      </w:tr>
    </w:tbl>
    <w:p w:rsidR="006A7080" w:rsidRPr="005270DD" w:rsidRDefault="006A7080" w:rsidP="003B398F">
      <w:pPr>
        <w:pStyle w:val="TableFigureCaption"/>
        <w:rPr>
          <w:color w:val="FF0000"/>
        </w:rPr>
      </w:pPr>
      <w:r>
        <w:br w:type="page"/>
      </w:r>
      <w:r w:rsidRPr="00B2581A">
        <w:lastRenderedPageBreak/>
        <w:t xml:space="preserve">Table 2-2: Example Winter Default CPP Rates at PG&amp;E, </w:t>
      </w:r>
      <w:proofErr w:type="gramStart"/>
      <w:r w:rsidRPr="00B2581A">
        <w:t>SCE</w:t>
      </w:r>
      <w:proofErr w:type="gramEnd"/>
      <w:r w:rsidRPr="00B2581A">
        <w:t xml:space="preserve"> and SDG&amp;E</w:t>
      </w:r>
    </w:p>
    <w:tbl>
      <w:tblPr>
        <w:tblW w:w="4991" w:type="pct"/>
        <w:tblLook w:val="04A0" w:firstRow="1" w:lastRow="0" w:firstColumn="1" w:lastColumn="0" w:noHBand="0" w:noVBand="1"/>
      </w:tblPr>
      <w:tblGrid>
        <w:gridCol w:w="929"/>
        <w:gridCol w:w="1432"/>
        <w:gridCol w:w="2069"/>
        <w:gridCol w:w="1801"/>
        <w:gridCol w:w="988"/>
        <w:gridCol w:w="1260"/>
        <w:gridCol w:w="1080"/>
      </w:tblGrid>
      <w:tr w:rsidR="006A7080" w:rsidRPr="00997298" w:rsidTr="00BE3126">
        <w:trPr>
          <w:trHeight w:val="315"/>
        </w:trPr>
        <w:tc>
          <w:tcPr>
            <w:tcW w:w="486" w:type="pct"/>
            <w:vMerge w:val="restart"/>
            <w:tcBorders>
              <w:top w:val="single" w:sz="8" w:space="0" w:color="000000"/>
              <w:left w:val="single" w:sz="8" w:space="0" w:color="000000"/>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Season</w:t>
            </w:r>
          </w:p>
        </w:tc>
        <w:tc>
          <w:tcPr>
            <w:tcW w:w="749"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TOU/CPP Component</w:t>
            </w:r>
          </w:p>
        </w:tc>
        <w:tc>
          <w:tcPr>
            <w:tcW w:w="1082"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Type of Charge/Credit</w:t>
            </w:r>
          </w:p>
        </w:tc>
        <w:tc>
          <w:tcPr>
            <w:tcW w:w="942" w:type="pct"/>
            <w:vMerge w:val="restart"/>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Period</w:t>
            </w:r>
          </w:p>
        </w:tc>
        <w:tc>
          <w:tcPr>
            <w:tcW w:w="1741" w:type="pct"/>
            <w:gridSpan w:val="3"/>
            <w:tcBorders>
              <w:top w:val="single" w:sz="8" w:space="0" w:color="000000"/>
              <w:left w:val="nil"/>
              <w:bottom w:val="single" w:sz="8" w:space="0" w:color="FFFFFF"/>
              <w:right w:val="single" w:sz="8" w:space="0" w:color="000000"/>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Rate</w:t>
            </w:r>
          </w:p>
        </w:tc>
      </w:tr>
      <w:tr w:rsidR="00BE3126" w:rsidRPr="00997298" w:rsidTr="004B170E">
        <w:trPr>
          <w:trHeight w:val="908"/>
        </w:trPr>
        <w:tc>
          <w:tcPr>
            <w:tcW w:w="486" w:type="pct"/>
            <w:vMerge/>
            <w:tcBorders>
              <w:top w:val="single" w:sz="8" w:space="0" w:color="000000"/>
              <w:left w:val="single" w:sz="8" w:space="0" w:color="000000"/>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p>
        </w:tc>
        <w:tc>
          <w:tcPr>
            <w:tcW w:w="749"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p>
        </w:tc>
        <w:tc>
          <w:tcPr>
            <w:tcW w:w="1082"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p>
        </w:tc>
        <w:tc>
          <w:tcPr>
            <w:tcW w:w="942" w:type="pct"/>
            <w:vMerge/>
            <w:tcBorders>
              <w:top w:val="single" w:sz="8" w:space="0" w:color="000000"/>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p>
        </w:tc>
        <w:tc>
          <w:tcPr>
            <w:tcW w:w="517" w:type="pct"/>
            <w:tcBorders>
              <w:top w:val="nil"/>
              <w:left w:val="single" w:sz="8" w:space="0" w:color="FFFFFF"/>
              <w:bottom w:val="single" w:sz="8" w:space="0" w:color="000000"/>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PG&amp;E E-19</w:t>
            </w:r>
          </w:p>
        </w:tc>
        <w:tc>
          <w:tcPr>
            <w:tcW w:w="659" w:type="pct"/>
            <w:tcBorders>
              <w:top w:val="nil"/>
              <w:left w:val="nil"/>
              <w:bottom w:val="single" w:sz="4" w:space="0" w:color="auto"/>
              <w:right w:val="single" w:sz="8" w:space="0" w:color="FFFFFF"/>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SCE</w:t>
            </w:r>
          </w:p>
          <w:p w:rsidR="006A7080" w:rsidRPr="00997298" w:rsidRDefault="006A7080" w:rsidP="003B398F">
            <w:pPr>
              <w:pStyle w:val="TableHeader"/>
              <w:rPr>
                <w:rFonts w:eastAsia="Times New Roman"/>
              </w:rPr>
            </w:pPr>
            <w:r w:rsidRPr="00997298">
              <w:rPr>
                <w:rFonts w:eastAsia="Times New Roman"/>
              </w:rPr>
              <w:t>TOU-GS-3</w:t>
            </w:r>
          </w:p>
        </w:tc>
        <w:tc>
          <w:tcPr>
            <w:tcW w:w="565" w:type="pct"/>
            <w:tcBorders>
              <w:top w:val="nil"/>
              <w:left w:val="nil"/>
              <w:bottom w:val="single" w:sz="4" w:space="0" w:color="auto"/>
              <w:right w:val="single" w:sz="8" w:space="0" w:color="000000"/>
            </w:tcBorders>
            <w:shd w:val="clear" w:color="auto" w:fill="0070CD"/>
            <w:vAlign w:val="center"/>
            <w:hideMark/>
          </w:tcPr>
          <w:p w:rsidR="006A7080" w:rsidRPr="00997298" w:rsidRDefault="006A7080" w:rsidP="003B398F">
            <w:pPr>
              <w:pStyle w:val="TableHeader"/>
              <w:rPr>
                <w:rFonts w:eastAsia="Times New Roman"/>
              </w:rPr>
            </w:pPr>
            <w:r w:rsidRPr="00997298">
              <w:rPr>
                <w:rFonts w:eastAsia="Times New Roman"/>
              </w:rPr>
              <w:t>SDG&amp;E</w:t>
            </w:r>
          </w:p>
          <w:p w:rsidR="006A7080" w:rsidRPr="00997298" w:rsidRDefault="006A7080" w:rsidP="003B398F">
            <w:pPr>
              <w:pStyle w:val="TableHeader"/>
              <w:rPr>
                <w:rFonts w:eastAsia="Times New Roman"/>
              </w:rPr>
            </w:pPr>
            <w:r w:rsidRPr="00997298">
              <w:rPr>
                <w:rFonts w:eastAsia="Times New Roman"/>
              </w:rPr>
              <w:t>AL-TOU</w:t>
            </w:r>
          </w:p>
        </w:tc>
      </w:tr>
      <w:tr w:rsidR="00BE3126" w:rsidRPr="00997298" w:rsidTr="004B170E">
        <w:trPr>
          <w:trHeight w:val="315"/>
        </w:trPr>
        <w:tc>
          <w:tcPr>
            <w:tcW w:w="486"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Winter</w:t>
            </w:r>
          </w:p>
        </w:tc>
        <w:tc>
          <w:tcPr>
            <w:tcW w:w="749"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TOU Component</w:t>
            </w:r>
          </w:p>
        </w:tc>
        <w:tc>
          <w:tcPr>
            <w:tcW w:w="1082" w:type="pct"/>
            <w:vMerge w:val="restart"/>
            <w:tcBorders>
              <w:top w:val="nil"/>
              <w:left w:val="nil"/>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Energy Charges</w:t>
            </w:r>
          </w:p>
          <w:p w:rsidR="006A7080" w:rsidRPr="00997298" w:rsidRDefault="006A7080" w:rsidP="003B398F">
            <w:pPr>
              <w:pStyle w:val="TableText"/>
              <w:rPr>
                <w:rFonts w:eastAsia="Times New Roman"/>
              </w:rPr>
            </w:pPr>
            <w:r w:rsidRPr="00997298">
              <w:rPr>
                <w:rFonts w:eastAsia="Times New Roman"/>
              </w:rPr>
              <w:t>(per kWh)</w:t>
            </w:r>
          </w:p>
          <w:p w:rsidR="006A7080" w:rsidRPr="00997298" w:rsidRDefault="006A7080" w:rsidP="003B398F">
            <w:pPr>
              <w:pStyle w:val="TableText"/>
              <w:rPr>
                <w:rFonts w:eastAsia="Times New Roman"/>
              </w:rPr>
            </w:pPr>
            <w:r w:rsidRPr="00997298">
              <w:rPr>
                <w:rFonts w:eastAsia="Times New Roman"/>
              </w:rPr>
              <w:t> </w:t>
            </w: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On-peak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single" w:sz="4" w:space="0" w:color="auto"/>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single" w:sz="4" w:space="0" w:color="auto"/>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$0.11 </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left w:val="nil"/>
              <w:right w:val="single" w:sz="8" w:space="0" w:color="000000"/>
            </w:tcBorders>
            <w:shd w:val="clear" w:color="auto" w:fill="auto"/>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Semi-peak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$0.10 </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$0.07 </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$0.09 </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Off-peak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$0.08 </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$0.05 </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$0.08 </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Demand Charges (per kW)</w:t>
            </w: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On-peak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$0.00 </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$7.18 </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Semi-peak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$0.21 </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$0.00 </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Maximum</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$12.56 </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$16.14 </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$21.84 </w:t>
            </w:r>
          </w:p>
        </w:tc>
      </w:tr>
      <w:tr w:rsidR="00BE3126" w:rsidRPr="00997298" w:rsidTr="004B170E">
        <w:trPr>
          <w:trHeight w:val="349"/>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CPP Component</w:t>
            </w:r>
          </w:p>
        </w:tc>
        <w:tc>
          <w:tcPr>
            <w:tcW w:w="1082" w:type="pct"/>
            <w:vMerge w:val="restar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Energy Charges and Credits (per kWh)</w:t>
            </w: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CPP Event Adder</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$1.20 </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FC48DE" w:rsidP="003B398F">
            <w:pPr>
              <w:pStyle w:val="TableText"/>
              <w:rPr>
                <w:rFonts w:eastAsia="Times New Roman"/>
              </w:rPr>
            </w:pPr>
            <w:r w:rsidRPr="00FC48DE">
              <w:rPr>
                <w:rFonts w:eastAsia="Times New Roman"/>
              </w:rPr>
              <w:t>$1.37</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$1.20 </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On-peak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$0.00</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Semi-peak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$0.00</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Off-peak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$0.00</w:t>
            </w:r>
          </w:p>
        </w:tc>
      </w:tr>
      <w:tr w:rsidR="00BE3126" w:rsidRPr="00997298" w:rsidTr="004B170E">
        <w:trPr>
          <w:trHeight w:val="313"/>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val="restart"/>
            <w:tcBorders>
              <w:top w:val="nil"/>
              <w:left w:val="nil"/>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Demand Credits</w:t>
            </w:r>
          </w:p>
          <w:p w:rsidR="006A7080" w:rsidRPr="00997298" w:rsidRDefault="006A7080" w:rsidP="003B398F">
            <w:pPr>
              <w:pStyle w:val="TableText"/>
              <w:rPr>
                <w:rFonts w:eastAsia="Times New Roman"/>
              </w:rPr>
            </w:pPr>
            <w:r w:rsidRPr="00997298">
              <w:rPr>
                <w:rFonts w:eastAsia="Times New Roman"/>
              </w:rPr>
              <w:t>(per kW)</w:t>
            </w: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On-peak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color w:val="FF0000"/>
              </w:rPr>
            </w:pPr>
            <w:r w:rsidRPr="005B418D">
              <w:rPr>
                <w:rFonts w:eastAsia="Times New Roman"/>
              </w:rPr>
              <w:t>NA</w:t>
            </w:r>
          </w:p>
        </w:tc>
      </w:tr>
      <w:tr w:rsidR="00BE3126" w:rsidRPr="00997298" w:rsidTr="004B170E">
        <w:trPr>
          <w:trHeight w:val="315"/>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vMerge/>
            <w:tcBorders>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p>
        </w:tc>
        <w:tc>
          <w:tcPr>
            <w:tcW w:w="942" w:type="pct"/>
            <w:tcBorders>
              <w:top w:val="nil"/>
              <w:left w:val="nil"/>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Semi-peak</w:t>
            </w:r>
          </w:p>
        </w:tc>
        <w:tc>
          <w:tcPr>
            <w:tcW w:w="517"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nil"/>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r>
      <w:tr w:rsidR="00BE3126" w:rsidRPr="00997298" w:rsidTr="004B170E">
        <w:trPr>
          <w:trHeight w:val="916"/>
        </w:trPr>
        <w:tc>
          <w:tcPr>
            <w:tcW w:w="486"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749" w:type="pct"/>
            <w:vMerge/>
            <w:tcBorders>
              <w:top w:val="nil"/>
              <w:left w:val="single" w:sz="8" w:space="0" w:color="000000"/>
              <w:bottom w:val="single" w:sz="8" w:space="0" w:color="000000"/>
              <w:right w:val="single" w:sz="8" w:space="0" w:color="000000"/>
            </w:tcBorders>
            <w:vAlign w:val="center"/>
            <w:hideMark/>
          </w:tcPr>
          <w:p w:rsidR="006A7080" w:rsidRPr="00997298" w:rsidRDefault="006A7080" w:rsidP="003B398F">
            <w:pPr>
              <w:pStyle w:val="TableText"/>
              <w:rPr>
                <w:rFonts w:eastAsia="Times New Roman"/>
              </w:rPr>
            </w:pPr>
          </w:p>
        </w:tc>
        <w:tc>
          <w:tcPr>
            <w:tcW w:w="1082" w:type="pct"/>
            <w:tcBorders>
              <w:top w:val="nil"/>
              <w:left w:val="nil"/>
              <w:bottom w:val="single" w:sz="4" w:space="0" w:color="auto"/>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Capacity Reservation Charge</w:t>
            </w:r>
          </w:p>
          <w:p w:rsidR="006A7080" w:rsidRPr="00997298" w:rsidRDefault="006A7080" w:rsidP="003B398F">
            <w:pPr>
              <w:pStyle w:val="TableText"/>
              <w:rPr>
                <w:rFonts w:eastAsia="Times New Roman"/>
              </w:rPr>
            </w:pPr>
            <w:r w:rsidRPr="00997298">
              <w:rPr>
                <w:rFonts w:eastAsia="Times New Roman"/>
              </w:rPr>
              <w:t>(per kW per month)</w:t>
            </w:r>
          </w:p>
        </w:tc>
        <w:tc>
          <w:tcPr>
            <w:tcW w:w="942" w:type="pct"/>
            <w:tcBorders>
              <w:top w:val="nil"/>
              <w:left w:val="single" w:sz="8" w:space="0" w:color="000000"/>
              <w:bottom w:val="single" w:sz="8" w:space="0" w:color="000000"/>
              <w:right w:val="single" w:sz="8" w:space="0" w:color="000000"/>
            </w:tcBorders>
            <w:shd w:val="clear" w:color="auto" w:fill="auto"/>
            <w:vAlign w:val="center"/>
            <w:hideMark/>
          </w:tcPr>
          <w:p w:rsidR="006A7080" w:rsidRPr="00997298" w:rsidRDefault="006A7080" w:rsidP="003B398F">
            <w:pPr>
              <w:pStyle w:val="TableText"/>
              <w:rPr>
                <w:rFonts w:eastAsia="Times New Roman"/>
              </w:rPr>
            </w:pPr>
            <w:r w:rsidRPr="00997298">
              <w:rPr>
                <w:rFonts w:eastAsia="Times New Roman"/>
              </w:rPr>
              <w:t>Winter</w:t>
            </w:r>
          </w:p>
        </w:tc>
        <w:tc>
          <w:tcPr>
            <w:tcW w:w="517" w:type="pct"/>
            <w:tcBorders>
              <w:top w:val="nil"/>
              <w:left w:val="single" w:sz="8" w:space="0" w:color="000000"/>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659" w:type="pct"/>
            <w:tcBorders>
              <w:top w:val="nil"/>
              <w:left w:val="single" w:sz="8" w:space="0" w:color="000000"/>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NA</w:t>
            </w:r>
          </w:p>
        </w:tc>
        <w:tc>
          <w:tcPr>
            <w:tcW w:w="565" w:type="pct"/>
            <w:tcBorders>
              <w:top w:val="nil"/>
              <w:left w:val="single" w:sz="8" w:space="0" w:color="000000"/>
              <w:bottom w:val="single" w:sz="8" w:space="0" w:color="000000"/>
              <w:right w:val="single" w:sz="8" w:space="0" w:color="000000"/>
            </w:tcBorders>
            <w:shd w:val="clear" w:color="auto" w:fill="auto"/>
            <w:vAlign w:val="center"/>
            <w:hideMark/>
          </w:tcPr>
          <w:p w:rsidR="006A7080" w:rsidRPr="005B418D" w:rsidRDefault="006A7080" w:rsidP="003B398F">
            <w:pPr>
              <w:pStyle w:val="TableText"/>
              <w:rPr>
                <w:rFonts w:eastAsia="Times New Roman"/>
              </w:rPr>
            </w:pPr>
            <w:r w:rsidRPr="005B418D">
              <w:rPr>
                <w:rFonts w:eastAsia="Times New Roman"/>
              </w:rPr>
              <w:t xml:space="preserve">$5.44 </w:t>
            </w:r>
          </w:p>
        </w:tc>
      </w:tr>
    </w:tbl>
    <w:p w:rsidR="004B170E" w:rsidRDefault="004B170E" w:rsidP="004B170E">
      <w:pPr>
        <w:pStyle w:val="BodyParaAfterTableFigure"/>
      </w:pPr>
      <w:bookmarkStart w:id="47" w:name="_Toc412650580"/>
      <w:r>
        <w:t>All IOUs offer the c</w:t>
      </w:r>
      <w:r w:rsidRPr="00C030E8">
        <w:t xml:space="preserve">apacity reservation </w:t>
      </w:r>
      <w:r>
        <w:t xml:space="preserve">option, which </w:t>
      </w:r>
      <w:r w:rsidRPr="00C030E8">
        <w:t xml:space="preserve">is a type of insurance contract in which </w:t>
      </w:r>
      <w:r>
        <w:t>a</w:t>
      </w:r>
      <w:r w:rsidRPr="00C030E8">
        <w:t xml:space="preserve"> customer pays a fee (</w:t>
      </w:r>
      <w:r>
        <w:t>paid</w:t>
      </w:r>
      <w:r w:rsidRPr="00C030E8">
        <w:t xml:space="preserve"> per kW) to set a</w:t>
      </w:r>
      <w:r>
        <w:t> </w:t>
      </w:r>
      <w:r w:rsidRPr="00C030E8">
        <w:t xml:space="preserve">level of demand below which </w:t>
      </w:r>
      <w:r>
        <w:t>it will be charged the non-CPP</w:t>
      </w:r>
      <w:r w:rsidRPr="00C030E8">
        <w:t>, TOU price during even</w:t>
      </w:r>
      <w:r>
        <w:t>t periods</w:t>
      </w:r>
      <w:proofErr w:type="gramStart"/>
      <w:r>
        <w:t xml:space="preserve">.  </w:t>
      </w:r>
      <w:proofErr w:type="gramEnd"/>
      <w:r>
        <w:t>Above the set level, a</w:t>
      </w:r>
      <w:r w:rsidRPr="00C030E8">
        <w:t xml:space="preserve"> customer will pay </w:t>
      </w:r>
      <w:r>
        <w:t>the normal CPP</w:t>
      </w:r>
      <w:r w:rsidRPr="00C030E8">
        <w:t xml:space="preserve"> price during an event</w:t>
      </w:r>
      <w:proofErr w:type="gramStart"/>
      <w:r w:rsidRPr="00C030E8">
        <w:t xml:space="preserve">.  </w:t>
      </w:r>
      <w:proofErr w:type="gramEnd"/>
      <w:r>
        <w:t>Customers choosing this option will pay the capacity reservation</w:t>
      </w:r>
      <w:r w:rsidRPr="00C030E8">
        <w:t xml:space="preserve"> fee</w:t>
      </w:r>
      <w:r>
        <w:t> </w:t>
      </w:r>
      <w:r w:rsidRPr="00C030E8">
        <w:t xml:space="preserve">whether or not </w:t>
      </w:r>
      <w:r>
        <w:t xml:space="preserve">events are called and whether or not </w:t>
      </w:r>
      <w:r w:rsidRPr="00C030E8">
        <w:t xml:space="preserve">they actually reach </w:t>
      </w:r>
      <w:r>
        <w:t>their specified level of demand</w:t>
      </w:r>
      <w:proofErr w:type="gramStart"/>
      <w:r>
        <w:t xml:space="preserve">.  </w:t>
      </w:r>
      <w:proofErr w:type="gramEnd"/>
      <w:r>
        <w:t xml:space="preserve">SDG&amp;E charges $5.44 per kW per month, year-round, </w:t>
      </w:r>
      <w:r w:rsidRPr="00C030E8">
        <w:t xml:space="preserve">for this </w:t>
      </w:r>
      <w:r>
        <w:t>option</w:t>
      </w:r>
      <w:r w:rsidRPr="00C030E8">
        <w:t xml:space="preserve"> and the</w:t>
      </w:r>
      <w:r>
        <w:t> </w:t>
      </w:r>
      <w:r w:rsidRPr="00C030E8">
        <w:t xml:space="preserve">default level for SDG&amp;E customers is 50% of </w:t>
      </w:r>
      <w:r>
        <w:t>a</w:t>
      </w:r>
      <w:r w:rsidRPr="00C030E8">
        <w:t xml:space="preserve"> customer’s</w:t>
      </w:r>
      <w:r>
        <w:t xml:space="preserve"> maximum on-peak demand from the prior summer</w:t>
      </w:r>
      <w:proofErr w:type="gramStart"/>
      <w:r>
        <w:t xml:space="preserve">.  </w:t>
      </w:r>
      <w:proofErr w:type="gramEnd"/>
      <w:r>
        <w:t>Default CRLs are set to zero for those customers with no SDG&amp;E summer usage history.</w:t>
      </w:r>
    </w:p>
    <w:p w:rsidR="004B170E" w:rsidRDefault="004B170E" w:rsidP="004B170E">
      <w:pPr>
        <w:pStyle w:val="BodyParagraph"/>
      </w:pPr>
      <w:r>
        <w:t>Not all CPP participants are offered the CRL option at PG&amp;E</w:t>
      </w:r>
      <w:proofErr w:type="gramStart"/>
      <w:r>
        <w:t xml:space="preserve">.  </w:t>
      </w:r>
      <w:proofErr w:type="gramEnd"/>
      <w:r>
        <w:t>Customers on the A-10 rate cannot specify a CRL, but they can opt for a longer event window (12 to 6 PM) and/or to only be</w:t>
      </w:r>
      <w:r w:rsidR="00693B04">
        <w:t> </w:t>
      </w:r>
      <w:r>
        <w:t>subject to every other CPP event</w:t>
      </w:r>
      <w:proofErr w:type="gramStart"/>
      <w:r>
        <w:t xml:space="preserve">. </w:t>
      </w:r>
      <w:r w:rsidR="00693B04">
        <w:t xml:space="preserve"> </w:t>
      </w:r>
      <w:proofErr w:type="gramEnd"/>
      <w:r>
        <w:t>The longer event window results in a two-thirds reduction in CPP charges and the every-other-event option results in a 50% reduction in CPP rate credits</w:t>
      </w:r>
      <w:proofErr w:type="gramStart"/>
      <w:r>
        <w:t xml:space="preserve">. </w:t>
      </w:r>
      <w:r w:rsidRPr="00C030E8">
        <w:t xml:space="preserve"> </w:t>
      </w:r>
      <w:proofErr w:type="gramEnd"/>
      <w:r w:rsidRPr="00C030E8">
        <w:t xml:space="preserve">PG&amp;E sets the default level to 50% </w:t>
      </w:r>
      <w:r w:rsidRPr="00D104C8">
        <w:t>of</w:t>
      </w:r>
      <w:r>
        <w:t> the average on-peak demand from the prior summer, or to zero for those customers with no summer usage history</w:t>
      </w:r>
      <w:proofErr w:type="gramStart"/>
      <w:r>
        <w:t xml:space="preserve">.   </w:t>
      </w:r>
      <w:proofErr w:type="gramEnd"/>
      <w:r>
        <w:t xml:space="preserve">The capacity reservation charge only applies in the summer months at PG&amp;E, and equals </w:t>
      </w:r>
      <w:r w:rsidRPr="00486A35">
        <w:t>$</w:t>
      </w:r>
      <w:r>
        <w:t>12.94 per kW per summer month.</w:t>
      </w:r>
    </w:p>
    <w:p w:rsidR="004B170E" w:rsidRDefault="004B170E">
      <w:pPr>
        <w:pStyle w:val="BodyParagraph"/>
      </w:pPr>
      <w:r>
        <w:lastRenderedPageBreak/>
        <w:t>SCE’s CRL options work much like PG&amp;E’s</w:t>
      </w:r>
      <w:r>
        <w:rPr>
          <w:rFonts w:cs="Arial"/>
        </w:rPr>
        <w:t xml:space="preserve">—the </w:t>
      </w:r>
      <w:r>
        <w:t>CRL is only available to customers with demands greater than 200 kW</w:t>
      </w:r>
      <w:proofErr w:type="gramStart"/>
      <w:r>
        <w:t xml:space="preserve">.  </w:t>
      </w:r>
      <w:proofErr w:type="gramEnd"/>
      <w:r>
        <w:t>Customers with demand less than 200 kW are instead offered a</w:t>
      </w:r>
      <w:r w:rsidR="00B42D18">
        <w:t> </w:t>
      </w:r>
      <w:r>
        <w:t>CPP-lite option that simply halves both the CPP credits and the CPP event-related charges</w:t>
      </w:r>
      <w:proofErr w:type="gramStart"/>
      <w:r>
        <w:t xml:space="preserve">.  </w:t>
      </w:r>
      <w:proofErr w:type="gramEnd"/>
      <w:r>
        <w:t>Once enrolled in CPP-lite, the customer must stay on the option for 12 consecutive months</w:t>
      </w:r>
      <w:proofErr w:type="gramStart"/>
      <w:r>
        <w:t xml:space="preserve">.  </w:t>
      </w:r>
      <w:proofErr w:type="gramEnd"/>
      <w:r>
        <w:t>Customers with demands greater than 200 kW may opt for a CRL</w:t>
      </w:r>
      <w:proofErr w:type="gramStart"/>
      <w:r>
        <w:t xml:space="preserve">.  </w:t>
      </w:r>
      <w:proofErr w:type="gramEnd"/>
      <w:r>
        <w:t>For those customers that come to CPP from CPP-Lite, SCE sets the default CRL at 50% of the customer’s average summer on-peak demand</w:t>
      </w:r>
      <w:proofErr w:type="gramStart"/>
      <w:r>
        <w:t xml:space="preserve">.  </w:t>
      </w:r>
      <w:proofErr w:type="gramEnd"/>
      <w:r>
        <w:t>All other customers defaulted to CPP at SCE will have a default CRL set to zero</w:t>
      </w:r>
      <w:proofErr w:type="gramStart"/>
      <w:r>
        <w:t xml:space="preserve">.  </w:t>
      </w:r>
      <w:proofErr w:type="gramEnd"/>
      <w:r>
        <w:t>There is no explicit CRL charge in the SCE CPP tariff</w:t>
      </w:r>
      <w:proofErr w:type="gramStart"/>
      <w:r>
        <w:t xml:space="preserve">.  </w:t>
      </w:r>
      <w:proofErr w:type="gramEnd"/>
      <w:r w:rsidR="00B42D18">
        <w:t>C</w:t>
      </w:r>
      <w:r>
        <w:t xml:space="preserve">ustomers </w:t>
      </w:r>
      <w:r w:rsidR="00B42D18">
        <w:t>who</w:t>
      </w:r>
      <w:r>
        <w:t xml:space="preserve"> elect a</w:t>
      </w:r>
      <w:r w:rsidR="00B65550">
        <w:t> </w:t>
      </w:r>
      <w:r>
        <w:t>CRL do not earn summer CPP non-event credits on the kW subject to CRL.</w:t>
      </w:r>
    </w:p>
    <w:p w:rsidR="004B170E" w:rsidRDefault="004B170E" w:rsidP="004B170E">
      <w:pPr>
        <w:pStyle w:val="BodyParagraph"/>
      </w:pPr>
      <w:r>
        <w:t>PG&amp;E and SCE allow CPP customers to change their CRL once a year</w:t>
      </w:r>
      <w:proofErr w:type="gramStart"/>
      <w:r>
        <w:t xml:space="preserve">.  </w:t>
      </w:r>
      <w:proofErr w:type="gramEnd"/>
      <w:r>
        <w:t>SDG&amp;E customers may only change their CRL upon their default to CPP or on their annual default anniversary.</w:t>
      </w:r>
    </w:p>
    <w:p w:rsidR="006A7080" w:rsidRDefault="006A7080" w:rsidP="00555CF5">
      <w:pPr>
        <w:pStyle w:val="Heading2"/>
      </w:pPr>
      <w:bookmarkStart w:id="48" w:name="_Toc415494751"/>
      <w:r w:rsidRPr="00555CF5">
        <w:t>Report</w:t>
      </w:r>
      <w:r>
        <w:t xml:space="preserve"> Organizatio</w:t>
      </w:r>
      <w:bookmarkEnd w:id="45"/>
      <w:bookmarkEnd w:id="46"/>
      <w:bookmarkEnd w:id="47"/>
      <w:r>
        <w:t>n</w:t>
      </w:r>
      <w:bookmarkEnd w:id="48"/>
    </w:p>
    <w:p w:rsidR="003B398F" w:rsidRDefault="006A7080" w:rsidP="006A7080">
      <w:pPr>
        <w:pStyle w:val="BodyParagraph"/>
      </w:pPr>
      <w:r w:rsidRPr="00425FD3">
        <w:t xml:space="preserve">The remainder of this </w:t>
      </w:r>
      <w:r w:rsidR="004B170E">
        <w:t>report</w:t>
      </w:r>
      <w:r w:rsidRPr="00425FD3">
        <w:t xml:space="preserve"> </w:t>
      </w:r>
      <w:r w:rsidR="004B170E">
        <w:t>proceeds as follows</w:t>
      </w:r>
      <w:proofErr w:type="gramStart"/>
      <w:r>
        <w:t xml:space="preserve">.  </w:t>
      </w:r>
      <w:proofErr w:type="gramEnd"/>
      <w:r w:rsidRPr="00425FD3">
        <w:t xml:space="preserve">Section 3 discusses the methodology employed to estimate </w:t>
      </w:r>
      <w:r>
        <w:t>ex post</w:t>
      </w:r>
      <w:r w:rsidR="004B170E">
        <w:t xml:space="preserve"> and ex ante</w:t>
      </w:r>
      <w:r>
        <w:t xml:space="preserve"> </w:t>
      </w:r>
      <w:r w:rsidRPr="00425FD3">
        <w:t>load impacts</w:t>
      </w:r>
      <w:proofErr w:type="gramStart"/>
      <w:r w:rsidRPr="00425FD3">
        <w:t xml:space="preserve">.  </w:t>
      </w:r>
      <w:proofErr w:type="gramEnd"/>
      <w:r w:rsidRPr="00425FD3">
        <w:t xml:space="preserve">PG&amp;E’s ex post </w:t>
      </w:r>
      <w:r>
        <w:t>and ex ante load impacts are p</w:t>
      </w:r>
      <w:r w:rsidRPr="00425FD3">
        <w:t>resented in Section</w:t>
      </w:r>
      <w:r w:rsidR="004B170E">
        <w:t>s</w:t>
      </w:r>
      <w:r w:rsidRPr="00425FD3">
        <w:t xml:space="preserve"> 4</w:t>
      </w:r>
      <w:r w:rsidR="004B170E">
        <w:t xml:space="preserve"> and 5</w:t>
      </w:r>
      <w:r w:rsidR="005004FD">
        <w:t>;</w:t>
      </w:r>
      <w:r w:rsidRPr="00425FD3">
        <w:t xml:space="preserve"> SCE’s in Se</w:t>
      </w:r>
      <w:r>
        <w:t>ction</w:t>
      </w:r>
      <w:r w:rsidR="004B170E">
        <w:t>s</w:t>
      </w:r>
      <w:r>
        <w:t xml:space="preserve"> </w:t>
      </w:r>
      <w:r w:rsidR="004B170E">
        <w:t>6</w:t>
      </w:r>
      <w:r>
        <w:t xml:space="preserve"> </w:t>
      </w:r>
      <w:r w:rsidR="004B170E">
        <w:t>and 7</w:t>
      </w:r>
      <w:r w:rsidR="005004FD">
        <w:t>;</w:t>
      </w:r>
      <w:r w:rsidR="004B170E">
        <w:t xml:space="preserve"> </w:t>
      </w:r>
      <w:r>
        <w:t>and SDG&amp;E’s in Section</w:t>
      </w:r>
      <w:r w:rsidR="004B170E">
        <w:t>s</w:t>
      </w:r>
      <w:r>
        <w:t xml:space="preserve"> </w:t>
      </w:r>
      <w:r w:rsidR="004B170E">
        <w:t>8 and 9</w:t>
      </w:r>
      <w:proofErr w:type="gramStart"/>
      <w:r w:rsidR="004B170E">
        <w:t xml:space="preserve">.  </w:t>
      </w:r>
      <w:proofErr w:type="gramEnd"/>
      <w:r w:rsidR="004B170E">
        <w:t>Section 10</w:t>
      </w:r>
      <w:r>
        <w:t xml:space="preserve"> concludes </w:t>
      </w:r>
      <w:r w:rsidR="0000272E">
        <w:t xml:space="preserve">this report </w:t>
      </w:r>
      <w:r>
        <w:t xml:space="preserve">with </w:t>
      </w:r>
      <w:proofErr w:type="spellStart"/>
      <w:r>
        <w:t>Nexant’s</w:t>
      </w:r>
      <w:proofErr w:type="spellEnd"/>
      <w:r>
        <w:t xml:space="preserve"> evaluation</w:t>
      </w:r>
      <w:r w:rsidR="004B170E">
        <w:t>-related</w:t>
      </w:r>
      <w:r>
        <w:t xml:space="preserve"> recommendations for CPP</w:t>
      </w:r>
      <w:proofErr w:type="gramStart"/>
      <w:r>
        <w:t xml:space="preserve">. </w:t>
      </w:r>
      <w:r w:rsidR="005004FD">
        <w:t xml:space="preserve"> </w:t>
      </w:r>
      <w:proofErr w:type="gramEnd"/>
      <w:r w:rsidR="004B170E">
        <w:t>The appendices include additional details about the methodology and portfolio-adjusted estimates</w:t>
      </w:r>
      <w:proofErr w:type="gramStart"/>
      <w:r w:rsidR="004B170E">
        <w:t xml:space="preserve">. </w:t>
      </w:r>
      <w:r w:rsidR="005004FD">
        <w:t xml:space="preserve"> </w:t>
      </w:r>
      <w:proofErr w:type="gramEnd"/>
      <w:r>
        <w:t xml:space="preserve">Appendix A contains the candidate </w:t>
      </w:r>
      <w:proofErr w:type="spellStart"/>
      <w:r>
        <w:t>probit</w:t>
      </w:r>
      <w:proofErr w:type="spellEnd"/>
      <w:r>
        <w:t xml:space="preserve"> models for selecting the matched control group</w:t>
      </w:r>
      <w:proofErr w:type="gramStart"/>
      <w:r>
        <w:t xml:space="preserve">.  </w:t>
      </w:r>
      <w:proofErr w:type="gramEnd"/>
      <w:r>
        <w:t>Appendix B contains output from the matching model selection process and identifies the final model used to match the control group</w:t>
      </w:r>
      <w:proofErr w:type="gramStart"/>
      <w:r>
        <w:t>.</w:t>
      </w:r>
      <w:r w:rsidR="005004FD">
        <w:t xml:space="preserve"> </w:t>
      </w:r>
      <w:r>
        <w:t xml:space="preserve"> </w:t>
      </w:r>
      <w:proofErr w:type="gramEnd"/>
      <w:r>
        <w:t>Appendix C outlines the difference-in-differences regression model specifications</w:t>
      </w:r>
      <w:proofErr w:type="gramStart"/>
      <w:r>
        <w:t xml:space="preserve">.  </w:t>
      </w:r>
      <w:proofErr w:type="gramEnd"/>
      <w:r>
        <w:t>Appendix D provides an overview of the individual regression models</w:t>
      </w:r>
      <w:proofErr w:type="gramStart"/>
      <w:r>
        <w:t xml:space="preserve">.  </w:t>
      </w:r>
      <w:proofErr w:type="gramEnd"/>
      <w:r>
        <w:t>Portfolio-adjusted ex ante load impact forecasts are shown in Appendix E</w:t>
      </w:r>
      <w:proofErr w:type="gramStart"/>
      <w:r>
        <w:t xml:space="preserve">.  </w:t>
      </w:r>
      <w:proofErr w:type="gramEnd"/>
      <w:r>
        <w:t xml:space="preserve">Appendices F and G present the </w:t>
      </w:r>
      <w:proofErr w:type="spellStart"/>
      <w:r>
        <w:t>ex ante</w:t>
      </w:r>
      <w:proofErr w:type="spellEnd"/>
      <w:r>
        <w:t xml:space="preserve"> reference load and l</w:t>
      </w:r>
      <w:r w:rsidR="00536267">
        <w:t>oad impact regression models</w:t>
      </w:r>
      <w:proofErr w:type="gramStart"/>
      <w:r w:rsidR="00536267">
        <w:t xml:space="preserve">.  </w:t>
      </w:r>
      <w:proofErr w:type="gramEnd"/>
      <w:r w:rsidR="00536267">
        <w:t>E</w:t>
      </w:r>
      <w:r w:rsidRPr="00425FD3">
        <w:t>x</w:t>
      </w:r>
      <w:r w:rsidR="005004FD">
        <w:t> </w:t>
      </w:r>
      <w:r w:rsidRPr="00425FD3">
        <w:t xml:space="preserve">post </w:t>
      </w:r>
      <w:r>
        <w:t xml:space="preserve">and ex ante </w:t>
      </w:r>
      <w:r w:rsidRPr="00425FD3">
        <w:t xml:space="preserve">tables </w:t>
      </w:r>
      <w:r w:rsidR="005004FD">
        <w:t>showing</w:t>
      </w:r>
      <w:r w:rsidRPr="00425FD3">
        <w:t xml:space="preserve"> hourly load impacts for individual even</w:t>
      </w:r>
      <w:r w:rsidR="00B65550">
        <w:t>t </w:t>
      </w:r>
      <w:r w:rsidRPr="00425FD3">
        <w:t>days and across</w:t>
      </w:r>
      <w:r>
        <w:t xml:space="preserve"> customer</w:t>
      </w:r>
      <w:r w:rsidRPr="00425FD3">
        <w:t xml:space="preserve"> segments are </w:t>
      </w:r>
      <w:r>
        <w:t xml:space="preserve">provided </w:t>
      </w:r>
      <w:r w:rsidR="00536267">
        <w:t>as an electronic appendix</w:t>
      </w:r>
      <w:r>
        <w:t>.</w:t>
      </w:r>
      <w:r w:rsidR="003B398F">
        <w:br w:type="page"/>
      </w:r>
    </w:p>
    <w:p w:rsidR="006A7080" w:rsidRDefault="006A7080" w:rsidP="006A7080">
      <w:pPr>
        <w:pStyle w:val="Heading1"/>
        <w:numPr>
          <w:ilvl w:val="0"/>
          <w:numId w:val="10"/>
        </w:numPr>
      </w:pPr>
      <w:bookmarkStart w:id="49" w:name="_Toc351455324"/>
      <w:bookmarkStart w:id="50" w:name="_Toc351462582"/>
      <w:bookmarkStart w:id="51" w:name="_Toc351469365"/>
      <w:bookmarkStart w:id="52" w:name="_Toc351480794"/>
      <w:bookmarkStart w:id="53" w:name="_Toc351455326"/>
      <w:bookmarkStart w:id="54" w:name="_Toc351462584"/>
      <w:bookmarkStart w:id="55" w:name="_Toc351469367"/>
      <w:bookmarkStart w:id="56" w:name="_Toc351480796"/>
      <w:bookmarkStart w:id="57" w:name="_Toc351455328"/>
      <w:bookmarkStart w:id="58" w:name="_Toc351462586"/>
      <w:bookmarkStart w:id="59" w:name="_Toc351469369"/>
      <w:bookmarkStart w:id="60" w:name="_Toc351480798"/>
      <w:bookmarkStart w:id="61" w:name="_Toc351455346"/>
      <w:bookmarkStart w:id="62" w:name="_Toc351462604"/>
      <w:bookmarkStart w:id="63" w:name="_Toc351469387"/>
      <w:bookmarkStart w:id="64" w:name="_Toc351480816"/>
      <w:bookmarkStart w:id="65" w:name="_Toc382537519"/>
      <w:bookmarkStart w:id="66" w:name="_Toc412650581"/>
      <w:bookmarkStart w:id="67" w:name="_Toc415494752"/>
      <w:bookmarkStart w:id="68" w:name="_Toc352323630"/>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056D0A">
        <w:lastRenderedPageBreak/>
        <w:t>Methodology</w:t>
      </w:r>
      <w:bookmarkEnd w:id="65"/>
      <w:bookmarkEnd w:id="66"/>
      <w:bookmarkEnd w:id="67"/>
    </w:p>
    <w:p w:rsidR="006A7080" w:rsidRDefault="006A7080" w:rsidP="006A7080">
      <w:pPr>
        <w:pStyle w:val="BodyParagraph"/>
      </w:pPr>
      <w:r>
        <w:t>This section summarizes the methodologies used to estimate ex post and ex ante load impacts for the statewide CPP tariffs</w:t>
      </w:r>
      <w:proofErr w:type="gramStart"/>
      <w:r>
        <w:t xml:space="preserve">.  </w:t>
      </w:r>
      <w:proofErr w:type="gramEnd"/>
      <w:r>
        <w:t>It also summarizes a new requirement for this year’s evaluation, namely the requirement to produce ex ante load impacts based on two sets of weather conditions</w:t>
      </w:r>
      <w:proofErr w:type="gramStart"/>
      <w:r>
        <w:t xml:space="preserve">.  </w:t>
      </w:r>
      <w:proofErr w:type="gramEnd"/>
      <w:r>
        <w:t>One set of weather is meant to represent normal and extreme weather conditions that coincide with utility specific peak operating conditions</w:t>
      </w:r>
      <w:proofErr w:type="gramStart"/>
      <w:r>
        <w:t xml:space="preserve">.  </w:t>
      </w:r>
      <w:proofErr w:type="gramEnd"/>
      <w:r>
        <w:t>Utility-specific operating conditions were the basis for weather scenarios in all prior impact evaluations in California, although even these weather conditions were updated this year based on revised methods and more current weather data</w:t>
      </w:r>
      <w:proofErr w:type="gramStart"/>
      <w:r>
        <w:t xml:space="preserve">.  </w:t>
      </w:r>
      <w:proofErr w:type="gramEnd"/>
      <w:r>
        <w:t>The second set of weather is meant to represent normal and peak weather conditions that coincide with the California Independent System Operator (CAISO) peak operating conditions</w:t>
      </w:r>
      <w:proofErr w:type="gramStart"/>
      <w:r>
        <w:t xml:space="preserve">.  </w:t>
      </w:r>
      <w:proofErr w:type="gramEnd"/>
      <w:r>
        <w:t xml:space="preserve">The extent to which a utility’s peak demands coincide with CAISO peak demands will determine how different these weather conditions and the resulting ex ante load impacts will be.  </w:t>
      </w:r>
    </w:p>
    <w:p w:rsidR="006A7080" w:rsidRDefault="006A7080" w:rsidP="006A7080">
      <w:pPr>
        <w:pStyle w:val="BodyParagraph"/>
      </w:pPr>
      <w:r w:rsidRPr="00DE0AB2">
        <w:t>CPP tariffs introduce two changes in</w:t>
      </w:r>
      <w:r>
        <w:t xml:space="preserve"> pricing</w:t>
      </w:r>
      <w:proofErr w:type="gramStart"/>
      <w:r>
        <w:t xml:space="preserve">.  </w:t>
      </w:r>
      <w:proofErr w:type="gramEnd"/>
      <w:r>
        <w:t xml:space="preserve">First, participants pay a </w:t>
      </w:r>
      <w:r w:rsidRPr="00DE0AB2">
        <w:t xml:space="preserve">higher price </w:t>
      </w:r>
      <w:r>
        <w:t>for electricity</w:t>
      </w:r>
      <w:r w:rsidRPr="00DE0AB2">
        <w:t xml:space="preserve"> during </w:t>
      </w:r>
      <w:r>
        <w:t xml:space="preserve">peak </w:t>
      </w:r>
      <w:r w:rsidRPr="004F0234">
        <w:t>hours</w:t>
      </w:r>
      <w:r>
        <w:t xml:space="preserve"> on </w:t>
      </w:r>
      <w:r w:rsidRPr="00DE0AB2">
        <w:t>critical event days</w:t>
      </w:r>
      <w:r>
        <w:t>, which is designed to encourage reductions in demand</w:t>
      </w:r>
      <w:proofErr w:type="gramStart"/>
      <w:r>
        <w:t xml:space="preserve">.  </w:t>
      </w:r>
      <w:proofErr w:type="gramEnd"/>
      <w:r>
        <w:t>Second, participants receive a discount during non-event hours</w:t>
      </w:r>
      <w:proofErr w:type="gramStart"/>
      <w:r>
        <w:t xml:space="preserve">.  </w:t>
      </w:r>
      <w:proofErr w:type="gramEnd"/>
      <w:r>
        <w:t>The rate discount for large and medium customers has been implemented at all three utilities primarily in the form of a reduction in summer on</w:t>
      </w:r>
      <w:r>
        <w:noBreakHyphen/>
        <w:t xml:space="preserve">peak demand charges.  </w:t>
      </w:r>
    </w:p>
    <w:p w:rsidR="006A7080" w:rsidRDefault="006A7080" w:rsidP="006A7080">
      <w:pPr>
        <w:pStyle w:val="BodyParagraph"/>
      </w:pPr>
      <w:r>
        <w:t>The impacts estimated for 2014 focus on the incremental effect of event day prices on demand relative to peak period demand on non-CPP days</w:t>
      </w:r>
      <w:proofErr w:type="gramStart"/>
      <w:r>
        <w:t xml:space="preserve">.  </w:t>
      </w:r>
      <w:proofErr w:type="gramEnd"/>
      <w:r>
        <w:t xml:space="preserve">The impact of the rate discount on non-event days is not estimated for three reasons: 1) prior analyses in 2010 and 2011 did not find statistically significant impacts due to the rate discount; 2) the pre-enrollment data needed to quantify the effect of the rate </w:t>
      </w:r>
      <w:r w:rsidRPr="004F0234">
        <w:t>discount</w:t>
      </w:r>
      <w:r>
        <w:t xml:space="preserve"> is too far in the past (four or five years prior) to be used; and 3) any changes are by now embedded in system load forecasts (and not incremental).</w:t>
      </w:r>
    </w:p>
    <w:p w:rsidR="006A7080" w:rsidRDefault="006A7080" w:rsidP="006A7080">
      <w:pPr>
        <w:pStyle w:val="BodyParagraph"/>
      </w:pPr>
      <w:r>
        <w:t>The methodology discussed in this section mainly concerns the estimation of impacts for historically large, defaulted CPP customers</w:t>
      </w:r>
      <w:r w:rsidR="00516F8B">
        <w:t>; while t</w:t>
      </w:r>
      <w:r>
        <w:t>he methodology for EEP customers differed slightly</w:t>
      </w:r>
      <w:proofErr w:type="gramStart"/>
      <w:r>
        <w:t xml:space="preserve">.  </w:t>
      </w:r>
      <w:proofErr w:type="gramEnd"/>
      <w:r w:rsidR="00516F8B">
        <w:t>L</w:t>
      </w:r>
      <w:r>
        <w:t>oad impacts for EEP customers were estimated solely using difference-in-differences with a matched control group</w:t>
      </w:r>
      <w:proofErr w:type="gramStart"/>
      <w:r>
        <w:t xml:space="preserve">.  </w:t>
      </w:r>
      <w:proofErr w:type="gramEnd"/>
      <w:r>
        <w:t xml:space="preserve">This approach was particularly suitable given the homogeneity of these customers’ loads and the availability of a large pool of control candidates.  </w:t>
      </w:r>
    </w:p>
    <w:p w:rsidR="006A7080" w:rsidRDefault="006A7080" w:rsidP="006A7080">
      <w:pPr>
        <w:pStyle w:val="BodyBeforeBullet"/>
      </w:pPr>
      <w:r>
        <w:t xml:space="preserve">The remainder of this section: </w:t>
      </w:r>
    </w:p>
    <w:p w:rsidR="006A7080" w:rsidRDefault="006A7080" w:rsidP="006A7080">
      <w:pPr>
        <w:pStyle w:val="Bullets"/>
        <w:tabs>
          <w:tab w:val="num" w:pos="720"/>
        </w:tabs>
        <w:ind w:left="720"/>
      </w:pPr>
      <w:r>
        <w:t>Describes the ex post evaluation methodology;</w:t>
      </w:r>
    </w:p>
    <w:p w:rsidR="006A7080" w:rsidRDefault="006A7080" w:rsidP="006A7080">
      <w:pPr>
        <w:pStyle w:val="Bullets"/>
        <w:tabs>
          <w:tab w:val="num" w:pos="720"/>
        </w:tabs>
        <w:ind w:left="720"/>
      </w:pPr>
      <w:r>
        <w:t>Describes the matching model selection approach used;</w:t>
      </w:r>
    </w:p>
    <w:p w:rsidR="006A7080" w:rsidRDefault="006A7080" w:rsidP="006A7080">
      <w:pPr>
        <w:pStyle w:val="Bullets"/>
        <w:tabs>
          <w:tab w:val="num" w:pos="720"/>
        </w:tabs>
        <w:ind w:left="720"/>
      </w:pPr>
      <w:r>
        <w:t>Describes the primary regression models and estimating sample used for ex post</w:t>
      </w:r>
      <w:r w:rsidR="00511EAC">
        <w:t> </w:t>
      </w:r>
      <w:r>
        <w:t xml:space="preserve">evaluation; </w:t>
      </w:r>
    </w:p>
    <w:p w:rsidR="006A7080" w:rsidRDefault="006A7080" w:rsidP="006A7080">
      <w:pPr>
        <w:pStyle w:val="BulletLast"/>
        <w:tabs>
          <w:tab w:val="num" w:pos="720"/>
        </w:tabs>
        <w:spacing w:after="120"/>
        <w:ind w:left="720"/>
        <w:contextualSpacing/>
      </w:pPr>
      <w:r>
        <w:t>Explains the methodology used to develop ex ante load impacts; and</w:t>
      </w:r>
    </w:p>
    <w:p w:rsidR="006A7080" w:rsidRPr="00C10621" w:rsidRDefault="006A7080" w:rsidP="005851FC">
      <w:pPr>
        <w:pStyle w:val="Bullet"/>
      </w:pPr>
      <w:r>
        <w:t xml:space="preserve">Summarizes the development of the </w:t>
      </w:r>
      <w:proofErr w:type="spellStart"/>
      <w:r>
        <w:t>ex ante</w:t>
      </w:r>
      <w:proofErr w:type="spellEnd"/>
      <w:r>
        <w:t xml:space="preserve"> weather conditions based on both utility specific and CAISO operating conditions.</w:t>
      </w:r>
    </w:p>
    <w:p w:rsidR="006A7080" w:rsidRDefault="00431D88" w:rsidP="006A7080">
      <w:pPr>
        <w:pStyle w:val="Heading2"/>
      </w:pPr>
      <w:bookmarkStart w:id="69" w:name="_Toc351455150"/>
      <w:bookmarkStart w:id="70" w:name="_Toc352323625"/>
      <w:bookmarkStart w:id="71" w:name="_Toc382537520"/>
      <w:bookmarkStart w:id="72" w:name="_Toc412650582"/>
      <w:bookmarkStart w:id="73" w:name="_Toc415494753"/>
      <w:r>
        <w:lastRenderedPageBreak/>
        <w:t>Ex P</w:t>
      </w:r>
      <w:r w:rsidR="006A7080">
        <w:t xml:space="preserve">ost </w:t>
      </w:r>
      <w:r w:rsidR="006A7080" w:rsidRPr="001C4623">
        <w:t>Evaluation</w:t>
      </w:r>
      <w:r w:rsidR="006A7080">
        <w:t xml:space="preserve"> Methodology</w:t>
      </w:r>
      <w:bookmarkEnd w:id="69"/>
      <w:bookmarkEnd w:id="70"/>
      <w:bookmarkEnd w:id="71"/>
      <w:bookmarkEnd w:id="72"/>
      <w:bookmarkEnd w:id="73"/>
    </w:p>
    <w:p w:rsidR="006A7080" w:rsidRDefault="006A7080" w:rsidP="006A7080">
      <w:pPr>
        <w:pStyle w:val="BodyParagraph"/>
      </w:pPr>
      <w:r w:rsidRPr="004A1B3C">
        <w:t xml:space="preserve">Ex post evaluation is designed to estimate demand reductions on </w:t>
      </w:r>
      <w:r>
        <w:t xml:space="preserve">event </w:t>
      </w:r>
      <w:r w:rsidRPr="004A1B3C">
        <w:t xml:space="preserve">days when higher CPP prices </w:t>
      </w:r>
      <w:r>
        <w:t>a</w:t>
      </w:r>
      <w:r w:rsidRPr="004A1B3C">
        <w:t>re in effect</w:t>
      </w:r>
      <w:proofErr w:type="gramStart"/>
      <w:r w:rsidRPr="004A1B3C">
        <w:t xml:space="preserve">.  </w:t>
      </w:r>
      <w:proofErr w:type="gramEnd"/>
      <w:r w:rsidRPr="004A1B3C">
        <w:t>Ex post impacts reflect the enrollment mix, weather, dispatch strategy and program rules in effect at the time of each event and, as a result, may not reflect the full demand reduction capability of a resource</w:t>
      </w:r>
      <w:proofErr w:type="gramStart"/>
      <w:r w:rsidRPr="004A1B3C">
        <w:t xml:space="preserve">.  </w:t>
      </w:r>
      <w:proofErr w:type="gramEnd"/>
      <w:r w:rsidRPr="004A1B3C">
        <w:t>For example, if a resource is weather-sensitive and delivers larger demand</w:t>
      </w:r>
      <w:r>
        <w:t> </w:t>
      </w:r>
      <w:r w:rsidRPr="004A1B3C">
        <w:t>reductions on hotter days, ex post events under cooler weather conditions understate the</w:t>
      </w:r>
      <w:r>
        <w:t> </w:t>
      </w:r>
      <w:r w:rsidRPr="004A1B3C">
        <w:t>resource’s</w:t>
      </w:r>
      <w:r>
        <w:t> </w:t>
      </w:r>
      <w:r w:rsidRPr="004A1B3C">
        <w:t>capability.</w:t>
      </w:r>
    </w:p>
    <w:p w:rsidR="006A7080" w:rsidRDefault="006A7080" w:rsidP="006A7080">
      <w:pPr>
        <w:pStyle w:val="BodyParagraph"/>
      </w:pPr>
      <w:r>
        <w:t>To calculate load reductions for demand response programs, customers’ load patterns in the absence of higher event-day prices</w:t>
      </w:r>
      <w:r w:rsidR="00511EAC">
        <w:rPr>
          <w:rFonts w:cs="Arial"/>
        </w:rPr>
        <w:t>—</w:t>
      </w:r>
      <w:r>
        <w:t>the reference load</w:t>
      </w:r>
      <w:r w:rsidR="00511EAC">
        <w:rPr>
          <w:rFonts w:cs="Arial"/>
        </w:rPr>
        <w:t>—</w:t>
      </w:r>
      <w:r>
        <w:t>must be estimated</w:t>
      </w:r>
      <w:proofErr w:type="gramStart"/>
      <w:r>
        <w:t xml:space="preserve">.  </w:t>
      </w:r>
      <w:proofErr w:type="gramEnd"/>
      <w:r>
        <w:t xml:space="preserve">Reference loads can be estimated </w:t>
      </w:r>
      <w:r w:rsidRPr="000A294F">
        <w:t>using pre-enrollment data</w:t>
      </w:r>
      <w:r>
        <w:t>, by observing</w:t>
      </w:r>
      <w:r w:rsidRPr="000A294F">
        <w:t xml:space="preserve"> </w:t>
      </w:r>
      <w:r>
        <w:t xml:space="preserve">differences in </w:t>
      </w:r>
      <w:r w:rsidRPr="000A294F">
        <w:t xml:space="preserve">behavior during </w:t>
      </w:r>
      <w:r>
        <w:t xml:space="preserve">event and </w:t>
      </w:r>
      <w:r w:rsidRPr="000A294F">
        <w:t>non-event d</w:t>
      </w:r>
      <w:r>
        <w:t xml:space="preserve">ays (i.e., a </w:t>
      </w:r>
      <w:r w:rsidRPr="003773B8">
        <w:t>within-subjects</w:t>
      </w:r>
      <w:r>
        <w:t xml:space="preserve"> design), by using an external control group (a </w:t>
      </w:r>
      <w:r w:rsidRPr="003773B8">
        <w:t>between-subjects</w:t>
      </w:r>
      <w:r>
        <w:t xml:space="preserve"> design) or through a combination of the above</w:t>
      </w:r>
      <w:proofErr w:type="gramStart"/>
      <w:r>
        <w:t xml:space="preserve">.  </w:t>
      </w:r>
      <w:proofErr w:type="gramEnd"/>
      <w:r>
        <w:t>Load impacts are estimated for 2014 using a combination of customer specific regressions and difference-in-differences</w:t>
      </w:r>
      <w:proofErr w:type="gramStart"/>
      <w:r>
        <w:t xml:space="preserve">.  </w:t>
      </w:r>
      <w:proofErr w:type="gramEnd"/>
      <w:r>
        <w:t>For the majority of customers we estimate difference-in-differences panel regressions that make use of both an external control group and non-event day data</w:t>
      </w:r>
      <w:proofErr w:type="gramStart"/>
      <w:r>
        <w:t xml:space="preserve">.  </w:t>
      </w:r>
      <w:proofErr w:type="gramEnd"/>
      <w:r>
        <w:t>However, for CPP customers for which a similar control customer is unavailable, we estimate customer specific regressions</w:t>
      </w:r>
      <w:r w:rsidR="00511EAC">
        <w:rPr>
          <w:rFonts w:cs="Arial"/>
        </w:rPr>
        <w:t>—</w:t>
      </w:r>
      <w:r>
        <w:t>that is, we rely exclusively on each customer’s electricity usage patterns on non-event days to estimate reference load for event days</w:t>
      </w:r>
      <w:proofErr w:type="gramStart"/>
      <w:r>
        <w:t xml:space="preserve">.  </w:t>
      </w:r>
      <w:proofErr w:type="gramEnd"/>
      <w:r>
        <w:t>This approach is a refinement of the analysis methodology used in 2013, which estimated impacts using difference-in-differences panel regressions for commercial customers and a within-subjects approach for all industrial customers</w:t>
      </w:r>
      <w:r w:rsidR="00B704D5">
        <w:t>;</w:t>
      </w:r>
      <w:r>
        <w:t xml:space="preserve"> which tend to have larger and more idiosyncratic loads than commercial customers</w:t>
      </w:r>
      <w:proofErr w:type="gramStart"/>
      <w:r>
        <w:t xml:space="preserve">.  </w:t>
      </w:r>
      <w:proofErr w:type="gramEnd"/>
      <w:r>
        <w:t xml:space="preserve">In 2014, the within-subjects method </w:t>
      </w:r>
      <w:r w:rsidR="00B704D5">
        <w:t>wa</w:t>
      </w:r>
      <w:r>
        <w:t>s employed more sparingly, and on a per</w:t>
      </w:r>
      <w:r w:rsidR="00511EAC">
        <w:t> </w:t>
      </w:r>
      <w:r>
        <w:t>customer basis, in order to make use of the matched control group method whenever a</w:t>
      </w:r>
      <w:r w:rsidR="00511EAC">
        <w:t> </w:t>
      </w:r>
      <w:r>
        <w:t xml:space="preserve">sufficiently similar control group customer </w:t>
      </w:r>
      <w:r w:rsidR="00B704D5">
        <w:t>wa</w:t>
      </w:r>
      <w:r>
        <w:t>s available.</w:t>
      </w:r>
    </w:p>
    <w:p w:rsidR="006A7080" w:rsidRDefault="006A7080" w:rsidP="006A7080">
      <w:pPr>
        <w:pStyle w:val="BodyParagraph"/>
      </w:pPr>
      <w:r>
        <w:t>Prior to the 2012 CPP evaluation, CPP load impacts had been estimated exclusively using the individual customer regression approach</w:t>
      </w:r>
      <w:proofErr w:type="gramStart"/>
      <w:r>
        <w:t xml:space="preserve">.  </w:t>
      </w:r>
      <w:proofErr w:type="gramEnd"/>
      <w:r>
        <w:t>Individual customer regressions have the benefit of easily producing impact estimates for any number of customer segments</w:t>
      </w:r>
      <w:proofErr w:type="gramStart"/>
      <w:r>
        <w:t xml:space="preserve">.  </w:t>
      </w:r>
      <w:proofErr w:type="gramEnd"/>
      <w:r>
        <w:t>However, applying a within-subjects evaluation approach to CPP in California suffers from drawbacks that stem from the fact that CPP events target the top system peak days of the year, which are almost by definition different from non-event days</w:t>
      </w:r>
      <w:proofErr w:type="gramStart"/>
      <w:r>
        <w:t xml:space="preserve">.  </w:t>
      </w:r>
      <w:proofErr w:type="gramEnd"/>
      <w:r>
        <w:t>The 5 to 15 top days of the year are typically distinguished by higher temperatures and higher loads than those that occur on hot non-event days</w:t>
      </w:r>
      <w:r w:rsidR="00511EAC">
        <w:rPr>
          <w:rFonts w:cs="Arial"/>
        </w:rPr>
        <w:t>—</w:t>
      </w:r>
      <w:r>
        <w:t>indeed, in California the very hottest weather drives the very highest system load days</w:t>
      </w:r>
      <w:proofErr w:type="gramStart"/>
      <w:r>
        <w:t xml:space="preserve">.  </w:t>
      </w:r>
      <w:proofErr w:type="gramEnd"/>
      <w:r>
        <w:t>The primary challenge this presents for evaluating CPP is that a within-subjects approach uses a customer’s load on non-event days to predict what load would have been in the absence of CPP on event days, but the non-event days available for estimating reference load are not as hot as the event days</w:t>
      </w:r>
      <w:proofErr w:type="gramStart"/>
      <w:r>
        <w:t xml:space="preserve">.  </w:t>
      </w:r>
      <w:proofErr w:type="gramEnd"/>
      <w:r>
        <w:t>This puts the evaluator in the position of using individual regression models to predict out of sample, that is, to infer reference loads under temperature conditions not recently observed without CPP events in effect.</w:t>
      </w:r>
    </w:p>
    <w:p w:rsidR="006A7080" w:rsidRDefault="006A7080" w:rsidP="006A7080">
      <w:pPr>
        <w:pStyle w:val="BodyParagraph"/>
      </w:pPr>
      <w:r>
        <w:t xml:space="preserve">Since PG&amp;E’s historically large, defaulted CPP </w:t>
      </w:r>
      <w:r w:rsidR="007D5ACD">
        <w:t xml:space="preserve">population </w:t>
      </w:r>
      <w:r>
        <w:t>is still mostly comprised of large C&amp;I customers, it may be hypothesized that CPP load impacts are not weather sensitive</w:t>
      </w:r>
      <w:proofErr w:type="gramStart"/>
      <w:r>
        <w:t xml:space="preserve">.  </w:t>
      </w:r>
      <w:proofErr w:type="gramEnd"/>
      <w:r>
        <w:t>However, the CPP population is comprised of a diverse cross section of industry segments where some segments are known to be weather-sensitive and some are not</w:t>
      </w:r>
      <w:proofErr w:type="gramStart"/>
      <w:r>
        <w:t xml:space="preserve">.  </w:t>
      </w:r>
      <w:proofErr w:type="gramEnd"/>
      <w:r>
        <w:t>The CPP population is split roughly evenly between commercial and industrial customers</w:t>
      </w:r>
      <w:proofErr w:type="gramStart"/>
      <w:r>
        <w:t xml:space="preserve">.  </w:t>
      </w:r>
      <w:proofErr w:type="gramEnd"/>
      <w:r>
        <w:t xml:space="preserve">Figure 3-1 shows average </w:t>
      </w:r>
      <w:r>
        <w:lastRenderedPageBreak/>
        <w:t>industrial customer load on summer weekdays where the enrollment-weighted, average maximum temperature across three years</w:t>
      </w:r>
      <w:r w:rsidRPr="00537A49">
        <w:t xml:space="preserve"> </w:t>
      </w:r>
      <w:r>
        <w:t>is greater than 80</w:t>
      </w:r>
      <w:r>
        <w:rPr>
          <w:rFonts w:cs="Arial"/>
        </w:rPr>
        <w:t>°</w:t>
      </w:r>
      <w:r>
        <w:t>F</w:t>
      </w:r>
      <w:proofErr w:type="gramStart"/>
      <w:r>
        <w:t xml:space="preserve">.  </w:t>
      </w:r>
      <w:proofErr w:type="gramEnd"/>
      <w:r>
        <w:t>The customers included in</w:t>
      </w:r>
      <w:r w:rsidR="006C7FDC">
        <w:t> </w:t>
      </w:r>
      <w:r>
        <w:t>this</w:t>
      </w:r>
      <w:r w:rsidR="006C7FDC">
        <w:t> </w:t>
      </w:r>
      <w:r>
        <w:t>graphic are only those that have two years of experience on the PG&amp;E CPP rate in</w:t>
      </w:r>
      <w:r w:rsidR="006C7FDC">
        <w:t> </w:t>
      </w:r>
      <w:r>
        <w:t>both</w:t>
      </w:r>
      <w:r w:rsidR="006C7FDC">
        <w:t> </w:t>
      </w:r>
      <w:r>
        <w:t>2013 and 2014</w:t>
      </w:r>
      <w:proofErr w:type="gramStart"/>
      <w:r>
        <w:t xml:space="preserve">.  </w:t>
      </w:r>
      <w:proofErr w:type="gramEnd"/>
      <w:r w:rsidR="006C7FDC">
        <w:t>Figure 3-1</w:t>
      </w:r>
      <w:r>
        <w:t xml:space="preserve"> shows that across the 12-degree swing in temperature </w:t>
      </w:r>
      <w:r w:rsidR="006C7FDC">
        <w:br/>
      </w:r>
      <w:r>
        <w:t>(80</w:t>
      </w:r>
      <w:r>
        <w:rPr>
          <w:rFonts w:cs="Arial"/>
        </w:rPr>
        <w:t>°</w:t>
      </w:r>
      <w:r>
        <w:t>F to</w:t>
      </w:r>
      <w:r w:rsidR="006C7FDC">
        <w:t> </w:t>
      </w:r>
      <w:r>
        <w:t>92</w:t>
      </w:r>
      <w:r>
        <w:rPr>
          <w:rFonts w:cs="Arial"/>
        </w:rPr>
        <w:t>°</w:t>
      </w:r>
      <w:r>
        <w:t xml:space="preserve">F), the linear pattern for industrial load only increases by about 9.5 kW, or </w:t>
      </w:r>
      <w:r w:rsidR="006C7FDC">
        <w:br/>
      </w:r>
      <w:r>
        <w:t xml:space="preserve">0.79 kW per </w:t>
      </w:r>
      <w:r w:rsidR="006C7FDC">
        <w:rPr>
          <w:rFonts w:cs="Arial"/>
        </w:rPr>
        <w:t>degree</w:t>
      </w:r>
      <w:r>
        <w:t xml:space="preserve">.   </w:t>
      </w:r>
    </w:p>
    <w:p w:rsidR="005851FC" w:rsidRDefault="006A7080" w:rsidP="005851FC">
      <w:pPr>
        <w:pStyle w:val="TableFigureCaption"/>
      </w:pPr>
      <w:r>
        <w:t>Figure</w:t>
      </w:r>
      <w:r w:rsidRPr="00380A5B">
        <w:t xml:space="preserve"> 3</w:t>
      </w:r>
      <w:r>
        <w:t>-1: Average PG&amp;E Industrial Customer Load (2 to 6 PM) on Hot Days</w:t>
      </w:r>
    </w:p>
    <w:p w:rsidR="006A7080" w:rsidRDefault="006A7080" w:rsidP="006A7080">
      <w:pPr>
        <w:pStyle w:val="BodyParagraph"/>
        <w:jc w:val="center"/>
      </w:pPr>
      <w:r>
        <w:rPr>
          <w:b/>
          <w:noProof/>
        </w:rPr>
        <w:drawing>
          <wp:inline distT="0" distB="0" distL="0" distR="0" wp14:anchorId="49117AB9" wp14:editId="3E9DECEA">
            <wp:extent cx="5114290" cy="37426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14290" cy="3742690"/>
                    </a:xfrm>
                    <a:prstGeom prst="rect">
                      <a:avLst/>
                    </a:prstGeom>
                    <a:noFill/>
                    <a:ln>
                      <a:noFill/>
                    </a:ln>
                  </pic:spPr>
                </pic:pic>
              </a:graphicData>
            </a:graphic>
          </wp:inline>
        </w:drawing>
      </w:r>
    </w:p>
    <w:p w:rsidR="006A7080" w:rsidRDefault="006A7080" w:rsidP="005851FC">
      <w:pPr>
        <w:pStyle w:val="BodyParaAfterTableFigure"/>
      </w:pPr>
      <w:r>
        <w:t>On the other hand, Figure 3-2 shows the same information for commercial CPP customers with</w:t>
      </w:r>
      <w:r w:rsidR="006C7FDC">
        <w:t> </w:t>
      </w:r>
      <w:r>
        <w:t>two years of CPP history in 2013 and 2014</w:t>
      </w:r>
      <w:proofErr w:type="gramStart"/>
      <w:r>
        <w:t xml:space="preserve">.  </w:t>
      </w:r>
      <w:proofErr w:type="gramEnd"/>
      <w:r>
        <w:t>Across a narrower temperature range (80</w:t>
      </w:r>
      <w:r>
        <w:rPr>
          <w:rFonts w:cs="Arial"/>
        </w:rPr>
        <w:t>°</w:t>
      </w:r>
      <w:r>
        <w:t>F to 89</w:t>
      </w:r>
      <w:r>
        <w:rPr>
          <w:rFonts w:cs="Arial"/>
        </w:rPr>
        <w:t>°</w:t>
      </w:r>
      <w:r>
        <w:t>F) the linear pattern for these customers’ load increase</w:t>
      </w:r>
      <w:r w:rsidR="006C7FDC">
        <w:t>d</w:t>
      </w:r>
      <w:r>
        <w:t xml:space="preserve"> by 24.8 kW, or 2.75 kW per </w:t>
      </w:r>
      <w:r>
        <w:rPr>
          <w:rFonts w:cs="Arial"/>
        </w:rPr>
        <w:t>°</w:t>
      </w:r>
      <w:r>
        <w:t>F.</w:t>
      </w:r>
    </w:p>
    <w:p w:rsidR="005851FC" w:rsidRDefault="006A7080" w:rsidP="005851FC">
      <w:pPr>
        <w:pStyle w:val="TableFigureCaption"/>
      </w:pPr>
      <w:r>
        <w:lastRenderedPageBreak/>
        <w:t>Figure</w:t>
      </w:r>
      <w:r w:rsidRPr="00380A5B">
        <w:t xml:space="preserve"> 3</w:t>
      </w:r>
      <w:r>
        <w:t>-2</w:t>
      </w:r>
      <w:r w:rsidRPr="00380A5B">
        <w:t xml:space="preserve">: </w:t>
      </w:r>
      <w:r>
        <w:t>Average PG&amp;E Commercial Customer Load (2 to 6 PM) on Hot Days</w:t>
      </w:r>
    </w:p>
    <w:p w:rsidR="006A7080" w:rsidRDefault="006A7080" w:rsidP="005851FC">
      <w:pPr>
        <w:pStyle w:val="BodyParagraph"/>
        <w:jc w:val="center"/>
      </w:pPr>
      <w:r>
        <w:rPr>
          <w:noProof/>
        </w:rPr>
        <w:drawing>
          <wp:inline distT="0" distB="0" distL="0" distR="0" wp14:anchorId="4B96A174" wp14:editId="6CBCADD0">
            <wp:extent cx="5114290" cy="37426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4290" cy="3742690"/>
                    </a:xfrm>
                    <a:prstGeom prst="rect">
                      <a:avLst/>
                    </a:prstGeom>
                    <a:noFill/>
                    <a:ln>
                      <a:noFill/>
                    </a:ln>
                  </pic:spPr>
                </pic:pic>
              </a:graphicData>
            </a:graphic>
          </wp:inline>
        </w:drawing>
      </w:r>
    </w:p>
    <w:p w:rsidR="006D677D" w:rsidRDefault="006A7080" w:rsidP="00753028">
      <w:pPr>
        <w:pStyle w:val="BodyParaAfterTableFigure"/>
      </w:pPr>
      <w:r>
        <w:t>When estimating load impacts, getting the reference load right is crucial: a -5% error in reference load estimation for a 250 kW customer that reduces load by 10% results in a 50% understatement of load impact.</w:t>
      </w:r>
      <w:r>
        <w:rPr>
          <w:rStyle w:val="FootnoteReference"/>
        </w:rPr>
        <w:footnoteReference w:id="6"/>
      </w:r>
      <w:proofErr w:type="gramStart"/>
      <w:r>
        <w:t xml:space="preserve">  </w:t>
      </w:r>
      <w:proofErr w:type="gramEnd"/>
      <w:r>
        <w:t>This concern was the main reason why, in 2012, the primary evaluation method transitioned from a within-subjects analysis involving individual customer regressions to a difference-in-differences estimate based on a selection of statistically matched control group</w:t>
      </w:r>
      <w:proofErr w:type="gramStart"/>
      <w:r>
        <w:t xml:space="preserve">.  </w:t>
      </w:r>
      <w:proofErr w:type="gramEnd"/>
      <w:r>
        <w:t>The accuracy of load impacts based on within-subjects regression analysis is highly dependent on accurately modeling the relationship between weather and load, which is challenging</w:t>
      </w:r>
      <w:proofErr w:type="gramStart"/>
      <w:r>
        <w:t xml:space="preserve">.  </w:t>
      </w:r>
      <w:proofErr w:type="gramEnd"/>
      <w:r>
        <w:t xml:space="preserve">With a matched control group and a difference-in-differences methodology, there is no need to specify a relationship between weather and load for ex post impact estimation and, therefore, no possibility of </w:t>
      </w:r>
      <w:r w:rsidR="005851FC">
        <w:t>introducing</w:t>
      </w:r>
      <w:r>
        <w:t xml:space="preserve"> </w:t>
      </w:r>
      <w:r w:rsidR="005851FC">
        <w:t>specification</w:t>
      </w:r>
      <w:r>
        <w:t xml:space="preserve"> error or bias into the impact estimation process</w:t>
      </w:r>
      <w:proofErr w:type="gramStart"/>
      <w:r>
        <w:t xml:space="preserve">.  </w:t>
      </w:r>
      <w:proofErr w:type="gramEnd"/>
      <w:r>
        <w:t>With this approach, the matched control group provides an estimate of what CPP customer load shapes would have looked like in the absence of the CPP event</w:t>
      </w:r>
      <w:r w:rsidR="00511EAC">
        <w:rPr>
          <w:rFonts w:cs="Arial"/>
        </w:rPr>
        <w:t>—</w:t>
      </w:r>
      <w:r>
        <w:t>under the very same weather conditions that CPP customers faced with respect to temperature, day of week, month and a host of unobservable factors that influence load patterns and load impacts</w:t>
      </w:r>
      <w:proofErr w:type="gramStart"/>
      <w:r>
        <w:t xml:space="preserve">.  </w:t>
      </w:r>
      <w:proofErr w:type="gramEnd"/>
      <w:r>
        <w:t>This event-day difference (the difference between the electric load observed in the control group and the treatment group) is corrected with an adjustment that takes into account differences in load that occur on non-event days</w:t>
      </w:r>
      <w:proofErr w:type="gramStart"/>
      <w:r>
        <w:t xml:space="preserve">. </w:t>
      </w:r>
      <w:r w:rsidR="00511EAC">
        <w:t xml:space="preserve"> </w:t>
      </w:r>
      <w:proofErr w:type="gramEnd"/>
      <w:r>
        <w:t xml:space="preserve">The compound result (the difference-in-differences) is a simple and transparent approach that does not suffer from the specification error that can be a problem </w:t>
      </w:r>
      <w:r>
        <w:lastRenderedPageBreak/>
        <w:t>for individual regression modeling.</w:t>
      </w:r>
      <w:r w:rsidR="006D677D">
        <w:t xml:space="preserve"> Nonetheless, the matched control group approach rests on the assumption that </w:t>
      </w:r>
      <w:r w:rsidR="00306410">
        <w:t>usage on hot non-event days</w:t>
      </w:r>
      <w:r w:rsidR="006D677D">
        <w:t xml:space="preserve"> is an accurate </w:t>
      </w:r>
      <w:r w:rsidR="00306410">
        <w:t>indicator</w:t>
      </w:r>
      <w:r w:rsidR="006D677D">
        <w:t xml:space="preserve"> of event day </w:t>
      </w:r>
      <w:r w:rsidR="00306410">
        <w:t>usage</w:t>
      </w:r>
      <w:r w:rsidR="006D677D">
        <w:t xml:space="preserve"> for both treatment and control</w:t>
      </w:r>
      <w:r w:rsidR="00306410">
        <w:t xml:space="preserve"> group</w:t>
      </w:r>
      <w:r w:rsidR="006D677D">
        <w:t xml:space="preserve"> </w:t>
      </w:r>
      <w:r w:rsidR="00306410">
        <w:t>customers</w:t>
      </w:r>
      <w:proofErr w:type="gramStart"/>
      <w:r w:rsidR="006D677D">
        <w:t xml:space="preserve">. </w:t>
      </w:r>
      <w:r w:rsidR="00306410">
        <w:t xml:space="preserve"> </w:t>
      </w:r>
      <w:proofErr w:type="gramEnd"/>
      <w:r w:rsidR="00306410">
        <w:t>This assumption is reasonable</w:t>
      </w:r>
      <w:r w:rsidR="006D677D">
        <w:t>, but if for whatever reason</w:t>
      </w:r>
      <w:r w:rsidR="00306410">
        <w:t xml:space="preserve"> it</w:t>
      </w:r>
      <w:r w:rsidR="006D677D">
        <w:t xml:space="preserve"> does not hold true (e.g.</w:t>
      </w:r>
      <w:r w:rsidR="00306410">
        <w:t>,</w:t>
      </w:r>
      <w:r w:rsidR="006D677D">
        <w:t xml:space="preserve"> the </w:t>
      </w:r>
      <w:r w:rsidR="00306410">
        <w:t>relationship between event day and non-event day usage is different for treatment customers</w:t>
      </w:r>
      <w:r w:rsidR="006D677D">
        <w:t xml:space="preserve"> by virtue of being on CPP)</w:t>
      </w:r>
      <w:proofErr w:type="gramStart"/>
      <w:r w:rsidR="00306410">
        <w:t>,</w:t>
      </w:r>
      <w:proofErr w:type="gramEnd"/>
      <w:r w:rsidR="00306410">
        <w:t xml:space="preserve"> there</w:t>
      </w:r>
      <w:r w:rsidR="006D677D">
        <w:t xml:space="preserve"> could </w:t>
      </w:r>
      <w:r w:rsidR="00306410">
        <w:t xml:space="preserve">be some </w:t>
      </w:r>
      <w:r w:rsidR="006D677D">
        <w:t>bias</w:t>
      </w:r>
      <w:r w:rsidR="00306410">
        <w:t xml:space="preserve"> in the results.</w:t>
      </w:r>
    </w:p>
    <w:p w:rsidR="006A7080" w:rsidRDefault="006A7080" w:rsidP="006A7080">
      <w:pPr>
        <w:pStyle w:val="BodyParagraph"/>
      </w:pPr>
      <w:r>
        <w:t>The key to the success using the matched control group approach, however, is a good match</w:t>
      </w:r>
      <w:proofErr w:type="gramStart"/>
      <w:r>
        <w:t>.</w:t>
      </w:r>
      <w:r w:rsidR="00511EAC">
        <w:t xml:space="preserve">  </w:t>
      </w:r>
      <w:proofErr w:type="gramEnd"/>
      <w:r>
        <w:t>An important factor in identifying a control group that looks like and behaves like CPP customers during non-event days is the availability of a large pool of control candidates that contains comparable untreated individuals</w:t>
      </w:r>
      <w:proofErr w:type="gramStart"/>
      <w:r>
        <w:t xml:space="preserve">.  </w:t>
      </w:r>
      <w:proofErr w:type="gramEnd"/>
      <w:r>
        <w:t>In recent years, the prevalence of other events for other demand response programs such as AMP and CBP on CPP days and hot non-event days has limited the size and scope of available control pool customers</w:t>
      </w:r>
      <w:proofErr w:type="gramStart"/>
      <w:r>
        <w:t xml:space="preserve">.  </w:t>
      </w:r>
      <w:proofErr w:type="gramEnd"/>
      <w:r>
        <w:t>In particular, it affected the ability to select suitable controls for industrial customers, which are generally larger and more difficult to match due to their often unique load patterns</w:t>
      </w:r>
      <w:proofErr w:type="gramStart"/>
      <w:r>
        <w:t xml:space="preserve">.  </w:t>
      </w:r>
      <w:proofErr w:type="gramEnd"/>
      <w:r>
        <w:t>The quality of a match is also influenced by the model class</w:t>
      </w:r>
      <w:r>
        <w:rPr>
          <w:rStyle w:val="FootnoteReference"/>
        </w:rPr>
        <w:footnoteReference w:id="7"/>
      </w:r>
      <w:r>
        <w:t xml:space="preserve"> and specification used to select potential matches</w:t>
      </w:r>
      <w:proofErr w:type="gramStart"/>
      <w:r>
        <w:t xml:space="preserve">.  </w:t>
      </w:r>
      <w:proofErr w:type="gramEnd"/>
      <w:r>
        <w:t xml:space="preserve">Unlike the adequacy of the control pool, which is fixed, the matching model can be selected to achieve a good match for as many customers as possible.  </w:t>
      </w:r>
    </w:p>
    <w:p w:rsidR="006A7080" w:rsidRDefault="006A7080" w:rsidP="006A7080">
      <w:pPr>
        <w:pStyle w:val="BodyParagraph"/>
      </w:pPr>
      <w:r>
        <w:t>As described in more detail below, Nexant employed a rigorous approach to selecting an appropriate matching model that provides accurate matched control group counterparts for as</w:t>
      </w:r>
      <w:r w:rsidR="00106724">
        <w:t> </w:t>
      </w:r>
      <w:r>
        <w:t>many CPP customers as possible</w:t>
      </w:r>
      <w:proofErr w:type="gramStart"/>
      <w:r>
        <w:t xml:space="preserve">.  </w:t>
      </w:r>
      <w:proofErr w:type="gramEnd"/>
      <w:r>
        <w:t>Multiple models and their associated control groups were assessed in a cross-validation process that quantifies how well a control group predicts load on hot event-like days (proxy days) that were not used to match (an out-of-sample test)</w:t>
      </w:r>
      <w:proofErr w:type="gramStart"/>
      <w:r>
        <w:t xml:space="preserve">.  </w:t>
      </w:r>
      <w:proofErr w:type="gramEnd"/>
      <w:r>
        <w:t>This approach was used to select among a set of carefully chosen models.</w:t>
      </w:r>
    </w:p>
    <w:p w:rsidR="006A7080" w:rsidRDefault="006A7080" w:rsidP="006A7080">
      <w:pPr>
        <w:pStyle w:val="BodyParagraph"/>
      </w:pPr>
      <w:r>
        <w:t>The subsections that follow describe the work to select a matching model and the subsequent control group selection</w:t>
      </w:r>
      <w:proofErr w:type="gramStart"/>
      <w:r>
        <w:t xml:space="preserve">.  </w:t>
      </w:r>
      <w:proofErr w:type="gramEnd"/>
      <w:r>
        <w:t>The load impact estimation procedure is then described.</w:t>
      </w:r>
    </w:p>
    <w:p w:rsidR="006A7080" w:rsidRDefault="006A7080" w:rsidP="00E01137">
      <w:pPr>
        <w:pStyle w:val="Heading3"/>
      </w:pPr>
      <w:bookmarkStart w:id="74" w:name="_Toc412650583"/>
      <w:bookmarkStart w:id="75" w:name="_Toc415494754"/>
      <w:r>
        <w:t>Proxy Day Selection</w:t>
      </w:r>
      <w:bookmarkEnd w:id="74"/>
      <w:bookmarkEnd w:id="75"/>
    </w:p>
    <w:p w:rsidR="006A7080" w:rsidRDefault="006A7080" w:rsidP="006A7080">
      <w:pPr>
        <w:pStyle w:val="BodyParagraph"/>
      </w:pPr>
      <w:r>
        <w:t>Proxy event days are selected by matching historical events to non-event days based on system loads, temperature conditions, month and day of week.</w:t>
      </w:r>
      <w:r>
        <w:rPr>
          <w:rStyle w:val="FootnoteReference"/>
        </w:rPr>
        <w:footnoteReference w:id="8"/>
      </w:r>
      <w:proofErr w:type="gramStart"/>
      <w:r>
        <w:t xml:space="preserve">  </w:t>
      </w:r>
      <w:proofErr w:type="gramEnd"/>
      <w:r>
        <w:t>CPP event days tend to differ from typical days</w:t>
      </w:r>
      <w:proofErr w:type="gramStart"/>
      <w:r>
        <w:t xml:space="preserve">.  </w:t>
      </w:r>
      <w:proofErr w:type="gramEnd"/>
      <w:r>
        <w:t>System loads are typically higher, the days are hotter and they are more likely to fall on specific weekdays</w:t>
      </w:r>
      <w:proofErr w:type="gramStart"/>
      <w:r>
        <w:t xml:space="preserve">.  </w:t>
      </w:r>
      <w:proofErr w:type="gramEnd"/>
      <w:r>
        <w:t xml:space="preserve">Most event days were matched to similar non-event </w:t>
      </w:r>
      <w:proofErr w:type="gramStart"/>
      <w:r>
        <w:t>days,</w:t>
      </w:r>
      <w:proofErr w:type="gramEnd"/>
      <w:r>
        <w:t xml:space="preserve"> however, comparable non-event days are not available for some of the days with the most extreme weather.  </w:t>
      </w:r>
    </w:p>
    <w:p w:rsidR="006A7080" w:rsidRDefault="006A7080" w:rsidP="006A7080">
      <w:pPr>
        <w:pStyle w:val="BodyParagraph"/>
      </w:pPr>
      <w:r>
        <w:t>Figure 3-3 shows how the proxy event days compare to actual event days for each utility</w:t>
      </w:r>
      <w:proofErr w:type="gramStart"/>
      <w:r>
        <w:t xml:space="preserve">.  </w:t>
      </w:r>
      <w:proofErr w:type="gramEnd"/>
      <w:r>
        <w:t xml:space="preserve">It plots the system peak load and the temperature conditions for each event day and for each </w:t>
      </w:r>
      <w:r>
        <w:lastRenderedPageBreak/>
        <w:t>proxy event day</w:t>
      </w:r>
      <w:proofErr w:type="gramStart"/>
      <w:r>
        <w:t xml:space="preserve">.  </w:t>
      </w:r>
      <w:proofErr w:type="gramEnd"/>
      <w:r>
        <w:t xml:space="preserve">The proxy days match actual event days quite well for SCE but at PG&amp;E and SDG&amp;E, the proxy days often have lower temperatures and loads than most event days.  </w:t>
      </w:r>
    </w:p>
    <w:p w:rsidR="006A7080" w:rsidRDefault="006A7080" w:rsidP="006A7080">
      <w:pPr>
        <w:pStyle w:val="TableFigureCaption"/>
      </w:pPr>
      <w:r>
        <w:t>Figure 3-3: Comparison of Actual and Proxy Event Days by Utility 2014</w:t>
      </w:r>
      <w:r>
        <w:rPr>
          <w:rStyle w:val="FootnoteReference"/>
        </w:rPr>
        <w:footnoteReference w:id="9"/>
      </w:r>
    </w:p>
    <w:p w:rsidR="006A7080" w:rsidRDefault="006A7080" w:rsidP="006A7080">
      <w:pPr>
        <w:pStyle w:val="BodyParagraph"/>
        <w:jc w:val="center"/>
      </w:pPr>
      <w:r>
        <w:rPr>
          <w:noProof/>
        </w:rPr>
        <w:drawing>
          <wp:inline distT="0" distB="0" distL="0" distR="0" wp14:anchorId="1D64FA21" wp14:editId="45DC7750">
            <wp:extent cx="6003758" cy="439341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005843" cy="4394939"/>
                    </a:xfrm>
                    <a:prstGeom prst="rect">
                      <a:avLst/>
                    </a:prstGeom>
                    <a:noFill/>
                    <a:ln>
                      <a:noFill/>
                    </a:ln>
                  </pic:spPr>
                </pic:pic>
              </a:graphicData>
            </a:graphic>
          </wp:inline>
        </w:drawing>
      </w:r>
    </w:p>
    <w:p w:rsidR="006A7080" w:rsidRDefault="006A7080" w:rsidP="00E01137">
      <w:pPr>
        <w:pStyle w:val="Heading3"/>
      </w:pPr>
      <w:bookmarkStart w:id="76" w:name="_Toc412650584"/>
      <w:bookmarkStart w:id="77" w:name="_Toc415494755"/>
      <w:r w:rsidRPr="00E01137">
        <w:t>Matching</w:t>
      </w:r>
      <w:r>
        <w:t xml:space="preserve"> Model Selection</w:t>
      </w:r>
      <w:bookmarkEnd w:id="76"/>
      <w:bookmarkEnd w:id="77"/>
    </w:p>
    <w:p w:rsidR="006A7080" w:rsidRDefault="006A7080" w:rsidP="006A7080">
      <w:pPr>
        <w:pStyle w:val="BodyParagraph"/>
      </w:pPr>
      <w:r>
        <w:t xml:space="preserve">Propensity score matching using a </w:t>
      </w:r>
      <w:proofErr w:type="spellStart"/>
      <w:r>
        <w:t>probit</w:t>
      </w:r>
      <w:proofErr w:type="spellEnd"/>
      <w:r>
        <w:t xml:space="preserve"> model was used to select valid control groups for each</w:t>
      </w:r>
      <w:r w:rsidR="00511EAC">
        <w:t> </w:t>
      </w:r>
      <w:r>
        <w:t>utility and relevant customer segment</w:t>
      </w:r>
      <w:proofErr w:type="gramStart"/>
      <w:r>
        <w:t xml:space="preserve">.  </w:t>
      </w:r>
      <w:proofErr w:type="gramEnd"/>
      <w:r>
        <w:t>This method is a standard approach for identifying statistical look-alikes from a pool of control group candidates and is typically used to address self-selection based on observable differences between CPP participants and non-participants.</w:t>
      </w:r>
      <w:r>
        <w:rPr>
          <w:rStyle w:val="FootnoteReference"/>
        </w:rPr>
        <w:footnoteReference w:id="10"/>
      </w:r>
      <w:proofErr w:type="gramStart"/>
      <w:r>
        <w:t xml:space="preserve">  </w:t>
      </w:r>
      <w:proofErr w:type="gramEnd"/>
      <w:r>
        <w:t>The model specification affects both the quality of the match and the number of participants matched given some threshold for the acceptable quality of a match</w:t>
      </w:r>
      <w:proofErr w:type="gramStart"/>
      <w:r>
        <w:t xml:space="preserve">.  </w:t>
      </w:r>
      <w:proofErr w:type="gramEnd"/>
      <w:r>
        <w:t>In the 2014 evaluation, model selection was conducted in a more rigorous and quantitative fashion than in previous years in order to achieve an accurate match for as many CPP customers as possible.</w:t>
      </w:r>
    </w:p>
    <w:p w:rsidR="006A7080" w:rsidRDefault="006A7080" w:rsidP="006A7080">
      <w:pPr>
        <w:pStyle w:val="BodyParagraph"/>
      </w:pPr>
      <w:r>
        <w:lastRenderedPageBreak/>
        <w:t>Nexant first developed a set of candidate models to test</w:t>
      </w:r>
      <w:proofErr w:type="gramStart"/>
      <w:r>
        <w:t xml:space="preserve">.  </w:t>
      </w:r>
      <w:proofErr w:type="gramEnd"/>
      <w:r>
        <w:t xml:space="preserve">A candidate model could vary based on its specification, its </w:t>
      </w:r>
      <w:r w:rsidRPr="008028DC">
        <w:rPr>
          <w:i/>
        </w:rPr>
        <w:t>hard match</w:t>
      </w:r>
      <w:r>
        <w:t xml:space="preserve"> criteria, and its caliper</w:t>
      </w:r>
      <w:proofErr w:type="gramStart"/>
      <w:r>
        <w:t xml:space="preserve">. </w:t>
      </w:r>
      <w:r w:rsidR="007439D3">
        <w:t xml:space="preserve"> </w:t>
      </w:r>
      <w:proofErr w:type="gramEnd"/>
      <w:r>
        <w:t xml:space="preserve">A hard match is when a different </w:t>
      </w:r>
      <w:proofErr w:type="spellStart"/>
      <w:r>
        <w:t>probit</w:t>
      </w:r>
      <w:proofErr w:type="spellEnd"/>
      <w:r>
        <w:t xml:space="preserve"> model is estimated for each value of a categorical variable and matches are constrained within that value</w:t>
      </w:r>
      <w:proofErr w:type="gramStart"/>
      <w:r>
        <w:t xml:space="preserve">.  </w:t>
      </w:r>
      <w:proofErr w:type="gramEnd"/>
      <w:r>
        <w:t>This ensures that CPP customers in a certain industry, for example, are only matched to control group customers in that same industry</w:t>
      </w:r>
      <w:proofErr w:type="gramStart"/>
      <w:r>
        <w:t xml:space="preserve">.  </w:t>
      </w:r>
      <w:proofErr w:type="gramEnd"/>
      <w:r>
        <w:t>The caliper is a constraint placed on the maximum proximity of a potential control group match</w:t>
      </w:r>
      <w:proofErr w:type="gramStart"/>
      <w:r>
        <w:t xml:space="preserve">.  </w:t>
      </w:r>
      <w:proofErr w:type="gramEnd"/>
      <w:r>
        <w:t>A caliper of 0.05, for example, restricts potential matches to be within 0.05 of the CPP customer’s propensity score</w:t>
      </w:r>
      <w:proofErr w:type="gramStart"/>
      <w:r>
        <w:t xml:space="preserve">.  </w:t>
      </w:r>
      <w:proofErr w:type="gramEnd"/>
      <w:r>
        <w:t>The model specifications tested were carefully selected with a focus on matching on load magnitude and shape</w:t>
      </w:r>
      <w:proofErr w:type="gramStart"/>
      <w:r>
        <w:t xml:space="preserve">.  </w:t>
      </w:r>
      <w:proofErr w:type="gramEnd"/>
      <w:r>
        <w:t>Load magnitude and shape capture the effect of many other variables such as weather and location, so sparser models that describe load were included rather than models that included many observables</w:t>
      </w:r>
      <w:proofErr w:type="gramStart"/>
      <w:r>
        <w:t xml:space="preserve">.  </w:t>
      </w:r>
      <w:proofErr w:type="gramEnd"/>
      <w:r>
        <w:t>Models that include many observable characteristics are likely to be over-fitted and produce a poor match on load in event hours</w:t>
      </w:r>
      <w:proofErr w:type="gramStart"/>
      <w:r>
        <w:t xml:space="preserve">.  </w:t>
      </w:r>
      <w:proofErr w:type="gramEnd"/>
      <w:r>
        <w:t>The set of candidate models is outlined in Appendix A.</w:t>
      </w:r>
    </w:p>
    <w:p w:rsidR="006A7080" w:rsidRDefault="006A7080" w:rsidP="006A7080">
      <w:pPr>
        <w:pStyle w:val="BodyParagraph"/>
      </w:pPr>
      <w:r>
        <w:t>The set of candidate models and their associated control groups were evaluated using a cross-validation process that assesses the quality of the match based on how well they predict for excluded proxy days that are not used to estimate the model</w:t>
      </w:r>
      <w:proofErr w:type="gramStart"/>
      <w:r>
        <w:t xml:space="preserve">.  </w:t>
      </w:r>
      <w:proofErr w:type="gramEnd"/>
      <w:r>
        <w:t xml:space="preserve">The rationale for such a strategy is that if a </w:t>
      </w:r>
      <w:proofErr w:type="spellStart"/>
      <w:r>
        <w:t>probit</w:t>
      </w:r>
      <w:proofErr w:type="spellEnd"/>
      <w:r>
        <w:t xml:space="preserve"> model yields a control group that accurately predicts treatment load on proxy days, it is expected to provide an accurate counterfactual for event day load</w:t>
      </w:r>
      <w:proofErr w:type="gramStart"/>
      <w:r>
        <w:t xml:space="preserve">.  </w:t>
      </w:r>
      <w:proofErr w:type="gramEnd"/>
      <w:r>
        <w:t>A good control group’s load can be said to predict that of the treatment group accurately if it yields an unbiased and precise fit to that of the treatment group</w:t>
      </w:r>
      <w:proofErr w:type="gramStart"/>
      <w:r>
        <w:t xml:space="preserve">.  </w:t>
      </w:r>
      <w:proofErr w:type="gramEnd"/>
      <w:r>
        <w:t>In previous years, the quality of a match was inspected visually using a second set of proxy days</w:t>
      </w:r>
      <w:proofErr w:type="gramStart"/>
      <w:r>
        <w:t xml:space="preserve">.  </w:t>
      </w:r>
      <w:proofErr w:type="gramEnd"/>
      <w:r>
        <w:t>This process posed several issues</w:t>
      </w:r>
      <w:r w:rsidR="007439D3">
        <w:t>,</w:t>
      </w:r>
      <w:r>
        <w:t xml:space="preserve"> which we identified and sought to improve</w:t>
      </w:r>
      <w:proofErr w:type="gramStart"/>
      <w:r>
        <w:t xml:space="preserve">.  </w:t>
      </w:r>
      <w:proofErr w:type="gramEnd"/>
      <w:r>
        <w:t>Often, finding a single group of proxy event days that was similar to event days in terms of load and temperature proved difficult</w:t>
      </w:r>
      <w:proofErr w:type="gramStart"/>
      <w:r>
        <w:t xml:space="preserve">.  </w:t>
      </w:r>
      <w:proofErr w:type="gramEnd"/>
      <w:r>
        <w:t>Load and temperature on the second set of days were invariably much lower than event days</w:t>
      </w:r>
      <w:proofErr w:type="gramStart"/>
      <w:r>
        <w:t xml:space="preserve">.  </w:t>
      </w:r>
      <w:proofErr w:type="gramEnd"/>
      <w:r>
        <w:t>Therefore</w:t>
      </w:r>
      <w:r w:rsidR="00E41191">
        <w:t>,</w:t>
      </w:r>
      <w:r>
        <w:t xml:space="preserve"> the approach assumed that if a match was adequate on </w:t>
      </w:r>
      <w:r w:rsidR="00E41191">
        <w:t xml:space="preserve">significantly </w:t>
      </w:r>
      <w:r>
        <w:t>cooler</w:t>
      </w:r>
      <w:r w:rsidR="00E41191">
        <w:t xml:space="preserve"> days with much</w:t>
      </w:r>
      <w:r>
        <w:t xml:space="preserve"> lower load, then it was </w:t>
      </w:r>
      <w:r w:rsidR="00E41191">
        <w:t xml:space="preserve">also </w:t>
      </w:r>
      <w:r>
        <w:t>adequate on hotter, higher load event days, which is not necessarily the case</w:t>
      </w:r>
      <w:proofErr w:type="gramStart"/>
      <w:r>
        <w:t xml:space="preserve">.  </w:t>
      </w:r>
      <w:proofErr w:type="gramEnd"/>
      <w:r w:rsidR="00E41191">
        <w:t>In this year’s approach, a similar assumption is made, but the approach has improved because the proxy days are only chosen from the hottest set of non-event days that are most similar to event days, so the difference in temperature between proxy days and event days is not as large</w:t>
      </w:r>
      <w:proofErr w:type="gramStart"/>
      <w:r w:rsidR="00E41191">
        <w:t xml:space="preserve">.  </w:t>
      </w:r>
      <w:proofErr w:type="gramEnd"/>
      <w:r>
        <w:t>Furthermore, only fitting a mode</w:t>
      </w:r>
      <w:r w:rsidR="00E41191">
        <w:t>l</w:t>
      </w:r>
      <w:r>
        <w:t xml:space="preserve"> once and evaluating its outcome on one set of days produces a variable and biased estimator of fit</w:t>
      </w:r>
      <w:proofErr w:type="gramStart"/>
      <w:r>
        <w:t xml:space="preserve">.  </w:t>
      </w:r>
      <w:proofErr w:type="gramEnd"/>
      <w:r>
        <w:t>Finally, models were developed and tested on an ad hoc basis, and a purely visual inspection did not lend itself to recording and comparing the accuracy of different models</w:t>
      </w:r>
      <w:proofErr w:type="gramStart"/>
      <w:r>
        <w:t xml:space="preserve">.  </w:t>
      </w:r>
      <w:proofErr w:type="gramEnd"/>
      <w:r>
        <w:t xml:space="preserve">The 2014 evaluation improves on this approach using a more quantitative model selection process that employs a method called </w:t>
      </w:r>
      <w:r w:rsidRPr="008028DC">
        <w:rPr>
          <w:i/>
        </w:rPr>
        <w:t>leave one out cross validation</w:t>
      </w:r>
      <w:r>
        <w:t xml:space="preserve"> (LOOCV) over a single set of proxy days</w:t>
      </w:r>
      <w:proofErr w:type="gramStart"/>
      <w:r>
        <w:t xml:space="preserve">.  </w:t>
      </w:r>
      <w:proofErr w:type="gramEnd"/>
      <w:r>
        <w:t>That set of days is selected to be as similar to event days as possible</w:t>
      </w:r>
      <w:proofErr w:type="gramStart"/>
      <w:r>
        <w:t xml:space="preserve">.  </w:t>
      </w:r>
      <w:proofErr w:type="gramEnd"/>
      <w:r>
        <w:t>LOOCV is outlined below:</w:t>
      </w:r>
    </w:p>
    <w:p w:rsidR="006A7080" w:rsidRDefault="006A7080" w:rsidP="008028DC">
      <w:pPr>
        <w:pStyle w:val="BodyParagraph"/>
        <w:numPr>
          <w:ilvl w:val="0"/>
          <w:numId w:val="29"/>
        </w:numPr>
        <w:spacing w:after="60"/>
      </w:pPr>
      <w:r>
        <w:t xml:space="preserve">For each of the </w:t>
      </w:r>
      <m:oMath>
        <m:r>
          <w:rPr>
            <w:rFonts w:ascii="Cambria Math" w:hAnsi="Cambria Math"/>
          </w:rPr>
          <m:t>m</m:t>
        </m:r>
      </m:oMath>
      <w:r>
        <w:t xml:space="preserve"> candidate models, conduct LOOCV over proxy days:</w:t>
      </w:r>
    </w:p>
    <w:p w:rsidR="006A7080" w:rsidRDefault="006A7080" w:rsidP="008028DC">
      <w:pPr>
        <w:pStyle w:val="BodyParagraph"/>
        <w:numPr>
          <w:ilvl w:val="1"/>
          <w:numId w:val="29"/>
        </w:numPr>
        <w:spacing w:after="60"/>
      </w:pPr>
      <w:r>
        <w:t xml:space="preserve">For each of the </w:t>
      </w:r>
      <m:oMath>
        <m:r>
          <w:rPr>
            <w:rFonts w:ascii="Cambria Math" w:hAnsi="Cambria Math"/>
          </w:rPr>
          <m:t>n</m:t>
        </m:r>
      </m:oMath>
      <w:r>
        <w:t xml:space="preserve"> proxy days:</w:t>
      </w:r>
    </w:p>
    <w:p w:rsidR="006A7080" w:rsidRDefault="006A7080" w:rsidP="008028DC">
      <w:pPr>
        <w:pStyle w:val="BodyParagraph"/>
        <w:numPr>
          <w:ilvl w:val="2"/>
          <w:numId w:val="29"/>
        </w:numPr>
        <w:spacing w:after="60"/>
      </w:pPr>
      <w:r>
        <w:t>Develop explanatory variables using data from all proxy days except the</w:t>
      </w:r>
      <m:oMath>
        <m:r>
          <w:rPr>
            <w:rFonts w:ascii="Cambria Math" w:hAnsi="Cambria Math"/>
          </w:rPr>
          <m:t xml:space="preserve"> nth</m:t>
        </m:r>
      </m:oMath>
      <w:r>
        <w:t>;</w:t>
      </w:r>
    </w:p>
    <w:p w:rsidR="006A7080" w:rsidRDefault="006A7080" w:rsidP="008028DC">
      <w:pPr>
        <w:pStyle w:val="BodyParagraph"/>
        <w:numPr>
          <w:ilvl w:val="2"/>
          <w:numId w:val="29"/>
        </w:numPr>
        <w:spacing w:after="60"/>
      </w:pPr>
      <w:r>
        <w:t xml:space="preserve">Fit </w:t>
      </w:r>
      <m:oMath>
        <m:r>
          <w:rPr>
            <w:rFonts w:ascii="Cambria Math" w:hAnsi="Cambria Math"/>
          </w:rPr>
          <m:t>mth</m:t>
        </m:r>
      </m:oMath>
      <w:r>
        <w:t xml:space="preserve"> model using explanatory variables and select its associate control group;</w:t>
      </w:r>
    </w:p>
    <w:p w:rsidR="006A7080" w:rsidRDefault="006A7080" w:rsidP="008028DC">
      <w:pPr>
        <w:pStyle w:val="BodyParagraph"/>
        <w:numPr>
          <w:ilvl w:val="2"/>
          <w:numId w:val="29"/>
        </w:numPr>
        <w:spacing w:after="60"/>
      </w:pPr>
      <w:r>
        <w:lastRenderedPageBreak/>
        <w:t xml:space="preserve">Record load of control group and treatment group individuals on the </w:t>
      </w:r>
      <m:oMath>
        <m:r>
          <w:rPr>
            <w:rFonts w:ascii="Cambria Math" w:hAnsi="Cambria Math"/>
          </w:rPr>
          <m:t>nth</m:t>
        </m:r>
      </m:oMath>
      <w:r>
        <w:t xml:space="preserve"> proxy day not used to fit the model; and</w:t>
      </w:r>
    </w:p>
    <w:p w:rsidR="006A7080" w:rsidRDefault="006A7080" w:rsidP="008028DC">
      <w:pPr>
        <w:pStyle w:val="BodyParagraph"/>
        <w:numPr>
          <w:ilvl w:val="2"/>
          <w:numId w:val="29"/>
        </w:numPr>
        <w:spacing w:after="60"/>
      </w:pPr>
      <w:r>
        <w:t>Record number of treatment customers without a match.</w:t>
      </w:r>
    </w:p>
    <w:p w:rsidR="006A7080" w:rsidRDefault="006A7080" w:rsidP="008028DC">
      <w:pPr>
        <w:pStyle w:val="BodyParagraph"/>
        <w:numPr>
          <w:ilvl w:val="0"/>
          <w:numId w:val="29"/>
        </w:numPr>
        <w:spacing w:after="60"/>
      </w:pPr>
      <w:r>
        <w:t>Compute metrics to measure bias and goodness-of-fit of a control group match.</w:t>
      </w:r>
    </w:p>
    <w:p w:rsidR="006A7080" w:rsidRDefault="006A7080" w:rsidP="006A7080">
      <w:pPr>
        <w:pStyle w:val="BodyParagraph"/>
        <w:numPr>
          <w:ilvl w:val="0"/>
          <w:numId w:val="29"/>
        </w:numPr>
      </w:pPr>
      <w:r>
        <w:t>Retain models that match at least 75% of treatment customers.</w:t>
      </w:r>
    </w:p>
    <w:p w:rsidR="006A7080" w:rsidRDefault="006A7080" w:rsidP="006A7080">
      <w:pPr>
        <w:pStyle w:val="BodyParagraph"/>
      </w:pPr>
      <w:r>
        <w:t>Note that we only retained models that provided matches for over 75% of CPP customers</w:t>
      </w:r>
      <w:proofErr w:type="gramStart"/>
      <w:r>
        <w:t xml:space="preserve">.  </w:t>
      </w:r>
      <w:proofErr w:type="gramEnd"/>
      <w:r>
        <w:t>This was done in order to estimate impacts using difference-in-differences with a matched control group for the vast majority of customers</w:t>
      </w:r>
      <w:proofErr w:type="gramStart"/>
      <w:r>
        <w:t xml:space="preserve">.  </w:t>
      </w:r>
      <w:proofErr w:type="gramEnd"/>
      <w:r>
        <w:t>As noted above, we evaluate the quality of a control group based on the bias and precision of its match with treatment group load on excluded days</w:t>
      </w:r>
      <w:proofErr w:type="gramStart"/>
      <w:r>
        <w:t>.</w:t>
      </w:r>
      <w:r w:rsidR="00511EAC">
        <w:t xml:space="preserve">  </w:t>
      </w:r>
      <w:proofErr w:type="gramEnd"/>
      <w:r>
        <w:t xml:space="preserve">Table 3-1 shows the metrics computed in step </w:t>
      </w:r>
      <w:r w:rsidR="0000272E">
        <w:t>2</w:t>
      </w:r>
      <w:proofErr w:type="gramStart"/>
      <w:r>
        <w:t xml:space="preserve">.  </w:t>
      </w:r>
      <w:proofErr w:type="gramEnd"/>
      <w:r>
        <w:t xml:space="preserve">All metrics </w:t>
      </w:r>
      <w:r w:rsidR="00281F7C">
        <w:t xml:space="preserve">were </w:t>
      </w:r>
      <w:r>
        <w:t>computed over the relevant</w:t>
      </w:r>
      <w:r w:rsidR="00511EAC">
        <w:t> </w:t>
      </w:r>
      <w:r w:rsidR="00850FD1">
        <w:t xml:space="preserve">CPP </w:t>
      </w:r>
      <w:r>
        <w:t xml:space="preserve">event hours for each IOU, as that </w:t>
      </w:r>
      <w:r w:rsidR="00281F7C">
        <w:t>wa</w:t>
      </w:r>
      <w:r>
        <w:t xml:space="preserve">s the principal period over which we </w:t>
      </w:r>
      <w:r w:rsidR="00281F7C">
        <w:t xml:space="preserve">had to </w:t>
      </w:r>
      <w:r>
        <w:t>estimate load impacts.</w:t>
      </w:r>
    </w:p>
    <w:p w:rsidR="006A7080" w:rsidRDefault="006A7080" w:rsidP="005851FC">
      <w:pPr>
        <w:pStyle w:val="TableFigureCaption"/>
      </w:pPr>
      <w:r>
        <w:t>Table 3-1: Control Group Accuracy Statistics</w:t>
      </w:r>
    </w:p>
    <w:tbl>
      <w:tblPr>
        <w:tblStyle w:val="TableGrid"/>
        <w:tblW w:w="0" w:type="auto"/>
        <w:tblLayout w:type="fixed"/>
        <w:tblLook w:val="04A0" w:firstRow="1" w:lastRow="0" w:firstColumn="1" w:lastColumn="0" w:noHBand="0" w:noVBand="1"/>
      </w:tblPr>
      <w:tblGrid>
        <w:gridCol w:w="1188"/>
        <w:gridCol w:w="1080"/>
        <w:gridCol w:w="1080"/>
        <w:gridCol w:w="2430"/>
        <w:gridCol w:w="2202"/>
        <w:gridCol w:w="1596"/>
      </w:tblGrid>
      <w:tr w:rsidR="00E01137" w:rsidTr="00E01137">
        <w:tc>
          <w:tcPr>
            <w:tcW w:w="1188" w:type="dxa"/>
            <w:tcBorders>
              <w:right w:val="single" w:sz="4" w:space="0" w:color="FFFFFF" w:themeColor="background1"/>
            </w:tcBorders>
            <w:shd w:val="clear" w:color="auto" w:fill="0070CD"/>
            <w:vAlign w:val="center"/>
          </w:tcPr>
          <w:p w:rsidR="005851FC" w:rsidRDefault="005851FC" w:rsidP="005851FC">
            <w:pPr>
              <w:pStyle w:val="TableHeader"/>
            </w:pPr>
            <w:r>
              <w:t>Statistic Type</w:t>
            </w:r>
          </w:p>
        </w:tc>
        <w:tc>
          <w:tcPr>
            <w:tcW w:w="1080" w:type="dxa"/>
            <w:tcBorders>
              <w:left w:val="single" w:sz="4" w:space="0" w:color="FFFFFF" w:themeColor="background1"/>
              <w:right w:val="single" w:sz="4" w:space="0" w:color="FFFFFF" w:themeColor="background1"/>
            </w:tcBorders>
            <w:shd w:val="clear" w:color="auto" w:fill="0070CD"/>
            <w:vAlign w:val="center"/>
          </w:tcPr>
          <w:p w:rsidR="005851FC" w:rsidRDefault="005851FC" w:rsidP="005851FC">
            <w:pPr>
              <w:pStyle w:val="TableHeader"/>
            </w:pPr>
            <w:r>
              <w:t>Statistic Level</w:t>
            </w:r>
          </w:p>
        </w:tc>
        <w:tc>
          <w:tcPr>
            <w:tcW w:w="1080" w:type="dxa"/>
            <w:tcBorders>
              <w:left w:val="single" w:sz="4" w:space="0" w:color="FFFFFF" w:themeColor="background1"/>
              <w:right w:val="single" w:sz="4" w:space="0" w:color="FFFFFF" w:themeColor="background1"/>
            </w:tcBorders>
            <w:shd w:val="clear" w:color="auto" w:fill="0070CD"/>
            <w:vAlign w:val="center"/>
          </w:tcPr>
          <w:p w:rsidR="005851FC" w:rsidRDefault="005851FC" w:rsidP="005851FC">
            <w:pPr>
              <w:pStyle w:val="TableHeader"/>
            </w:pPr>
            <w:r>
              <w:t>Statistic</w:t>
            </w:r>
          </w:p>
        </w:tc>
        <w:tc>
          <w:tcPr>
            <w:tcW w:w="2430" w:type="dxa"/>
            <w:tcBorders>
              <w:left w:val="single" w:sz="4" w:space="0" w:color="FFFFFF" w:themeColor="background1"/>
              <w:right w:val="single" w:sz="4" w:space="0" w:color="FFFFFF" w:themeColor="background1"/>
            </w:tcBorders>
            <w:shd w:val="clear" w:color="auto" w:fill="0070CD"/>
            <w:vAlign w:val="center"/>
          </w:tcPr>
          <w:p w:rsidR="005851FC" w:rsidRDefault="005851FC" w:rsidP="005851FC">
            <w:pPr>
              <w:pStyle w:val="TableHeader"/>
            </w:pPr>
            <w:r>
              <w:t>Formula</w:t>
            </w:r>
          </w:p>
        </w:tc>
        <w:tc>
          <w:tcPr>
            <w:tcW w:w="2202" w:type="dxa"/>
            <w:tcBorders>
              <w:left w:val="single" w:sz="4" w:space="0" w:color="FFFFFF" w:themeColor="background1"/>
              <w:right w:val="single" w:sz="4" w:space="0" w:color="FFFFFF" w:themeColor="background1"/>
            </w:tcBorders>
            <w:shd w:val="clear" w:color="auto" w:fill="0070CD"/>
            <w:vAlign w:val="center"/>
          </w:tcPr>
          <w:p w:rsidR="005851FC" w:rsidRDefault="005851FC" w:rsidP="005851FC">
            <w:pPr>
              <w:pStyle w:val="TableHeader"/>
            </w:pPr>
            <w:r>
              <w:t>Description</w:t>
            </w:r>
          </w:p>
        </w:tc>
        <w:tc>
          <w:tcPr>
            <w:tcW w:w="1596" w:type="dxa"/>
            <w:tcBorders>
              <w:left w:val="single" w:sz="4" w:space="0" w:color="FFFFFF" w:themeColor="background1"/>
            </w:tcBorders>
            <w:shd w:val="clear" w:color="auto" w:fill="0070CD"/>
            <w:vAlign w:val="center"/>
          </w:tcPr>
          <w:p w:rsidR="005851FC" w:rsidRDefault="005851FC" w:rsidP="005851FC">
            <w:pPr>
              <w:pStyle w:val="TableHeader"/>
            </w:pPr>
            <w:r>
              <w:t>Typical Values</w:t>
            </w:r>
          </w:p>
        </w:tc>
      </w:tr>
      <w:tr w:rsidR="00E01137" w:rsidTr="00555CF5">
        <w:tc>
          <w:tcPr>
            <w:tcW w:w="1188" w:type="dxa"/>
            <w:vAlign w:val="center"/>
          </w:tcPr>
          <w:p w:rsidR="005851FC" w:rsidRPr="00E01137" w:rsidRDefault="005851FC" w:rsidP="00555CF5">
            <w:pPr>
              <w:pStyle w:val="TableText"/>
            </w:pPr>
            <w:r w:rsidRPr="00E01137">
              <w:t>Bias</w:t>
            </w:r>
          </w:p>
        </w:tc>
        <w:tc>
          <w:tcPr>
            <w:tcW w:w="1080" w:type="dxa"/>
            <w:vAlign w:val="center"/>
          </w:tcPr>
          <w:p w:rsidR="005851FC" w:rsidRPr="00E01137" w:rsidRDefault="005851FC" w:rsidP="00555CF5">
            <w:pPr>
              <w:pStyle w:val="TableText"/>
            </w:pPr>
            <w:r w:rsidRPr="00E01137">
              <w:t>Program</w:t>
            </w:r>
          </w:p>
        </w:tc>
        <w:tc>
          <w:tcPr>
            <w:tcW w:w="1080" w:type="dxa"/>
            <w:vAlign w:val="center"/>
          </w:tcPr>
          <w:p w:rsidR="005851FC" w:rsidRPr="00E01137" w:rsidRDefault="005851FC" w:rsidP="00555CF5">
            <w:pPr>
              <w:pStyle w:val="TableText"/>
            </w:pPr>
            <w:r w:rsidRPr="00E01137">
              <w:t>Average Percent Error</w:t>
            </w:r>
          </w:p>
        </w:tc>
        <w:tc>
          <w:tcPr>
            <w:tcW w:w="2430" w:type="dxa"/>
            <w:vAlign w:val="center"/>
          </w:tcPr>
          <w:p w:rsidR="005851FC" w:rsidRPr="00E01137" w:rsidRDefault="005851FC" w:rsidP="00555CF5">
            <w:pPr>
              <w:pStyle w:val="TableText"/>
            </w:pPr>
            <w:r w:rsidRPr="00E01137">
              <w:rPr>
                <w:noProof/>
              </w:rPr>
              <w:drawing>
                <wp:inline distT="0" distB="0" distL="0" distR="0" wp14:anchorId="35DA2229" wp14:editId="0C5D6088">
                  <wp:extent cx="723900" cy="5524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723900" cy="552450"/>
                          </a:xfrm>
                          <a:prstGeom prst="rect">
                            <a:avLst/>
                          </a:prstGeom>
                        </pic:spPr>
                      </pic:pic>
                    </a:graphicData>
                  </a:graphic>
                </wp:inline>
              </w:drawing>
            </w:r>
          </w:p>
        </w:tc>
        <w:tc>
          <w:tcPr>
            <w:tcW w:w="2202" w:type="dxa"/>
            <w:vAlign w:val="center"/>
          </w:tcPr>
          <w:p w:rsidR="005851FC" w:rsidRPr="00E01137" w:rsidRDefault="005851FC" w:rsidP="00E41191">
            <w:pPr>
              <w:pStyle w:val="TableText"/>
              <w:jc w:val="left"/>
            </w:pPr>
            <w:r w:rsidRPr="00E01137">
              <w:t xml:space="preserve">Sums up baseline and actual value for individual customers and </w:t>
            </w:r>
            <w:r w:rsidR="00E41191">
              <w:t>proxy</w:t>
            </w:r>
            <w:r w:rsidR="00E41191" w:rsidRPr="00E01137">
              <w:t xml:space="preserve"> </w:t>
            </w:r>
            <w:r w:rsidRPr="00E01137">
              <w:t>days for the entire program; calculates error statistics from these values</w:t>
            </w:r>
            <w:r w:rsidR="00E01137">
              <w:t>.</w:t>
            </w:r>
          </w:p>
        </w:tc>
        <w:tc>
          <w:tcPr>
            <w:tcW w:w="1596" w:type="dxa"/>
            <w:vAlign w:val="center"/>
          </w:tcPr>
          <w:p w:rsidR="005851FC" w:rsidRPr="00E01137" w:rsidRDefault="005851FC" w:rsidP="00555CF5">
            <w:pPr>
              <w:pStyle w:val="TableText"/>
              <w:jc w:val="left"/>
            </w:pPr>
            <w:r w:rsidRPr="00E01137">
              <w:t>Expressed in percentage terms. Can be positive or negative. The closer to zero, the better.</w:t>
            </w:r>
          </w:p>
        </w:tc>
      </w:tr>
      <w:tr w:rsidR="00E01137" w:rsidTr="00555CF5">
        <w:tc>
          <w:tcPr>
            <w:tcW w:w="1188" w:type="dxa"/>
            <w:vAlign w:val="center"/>
          </w:tcPr>
          <w:p w:rsidR="005851FC" w:rsidRPr="00E01137" w:rsidRDefault="005851FC" w:rsidP="00555CF5">
            <w:pPr>
              <w:pStyle w:val="TableText"/>
            </w:pPr>
            <w:r w:rsidRPr="00E01137">
              <w:t>Bias</w:t>
            </w:r>
          </w:p>
        </w:tc>
        <w:tc>
          <w:tcPr>
            <w:tcW w:w="1080" w:type="dxa"/>
            <w:vAlign w:val="center"/>
          </w:tcPr>
          <w:p w:rsidR="005851FC" w:rsidRPr="00E01137" w:rsidRDefault="005851FC" w:rsidP="00555CF5">
            <w:pPr>
              <w:pStyle w:val="TableText"/>
            </w:pPr>
            <w:r w:rsidRPr="00E01137">
              <w:t>Program</w:t>
            </w:r>
          </w:p>
        </w:tc>
        <w:tc>
          <w:tcPr>
            <w:tcW w:w="1080" w:type="dxa"/>
            <w:vAlign w:val="center"/>
          </w:tcPr>
          <w:p w:rsidR="005851FC" w:rsidRPr="00E01137" w:rsidRDefault="005851FC" w:rsidP="00555CF5">
            <w:pPr>
              <w:pStyle w:val="TableText"/>
            </w:pPr>
            <w:r w:rsidRPr="00E01137">
              <w:t>SD(APE)</w:t>
            </w:r>
          </w:p>
        </w:tc>
        <w:tc>
          <w:tcPr>
            <w:tcW w:w="2430" w:type="dxa"/>
            <w:vAlign w:val="center"/>
          </w:tcPr>
          <w:p w:rsidR="005851FC" w:rsidRPr="00E01137" w:rsidRDefault="005851FC" w:rsidP="00555CF5">
            <w:pPr>
              <w:pStyle w:val="TableText"/>
            </w:pPr>
            <w:r w:rsidRPr="00E01137">
              <w:rPr>
                <w:noProof/>
              </w:rPr>
              <w:drawing>
                <wp:inline distT="0" distB="0" distL="0" distR="0" wp14:anchorId="754CE884" wp14:editId="2281091D">
                  <wp:extent cx="1466850" cy="69532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466850" cy="695325"/>
                          </a:xfrm>
                          <a:prstGeom prst="rect">
                            <a:avLst/>
                          </a:prstGeom>
                        </pic:spPr>
                      </pic:pic>
                    </a:graphicData>
                  </a:graphic>
                </wp:inline>
              </w:drawing>
            </w:r>
          </w:p>
        </w:tc>
        <w:tc>
          <w:tcPr>
            <w:tcW w:w="2202" w:type="dxa"/>
            <w:vAlign w:val="center"/>
          </w:tcPr>
          <w:p w:rsidR="005851FC" w:rsidRPr="00E01137" w:rsidRDefault="005851FC" w:rsidP="00E41191">
            <w:pPr>
              <w:pStyle w:val="TableText"/>
              <w:jc w:val="left"/>
            </w:pPr>
            <w:r w:rsidRPr="00E01137">
              <w:t xml:space="preserve">Measures the average deviation in average percent error on individual </w:t>
            </w:r>
            <w:r w:rsidR="00E41191">
              <w:t>proxy</w:t>
            </w:r>
            <w:r w:rsidR="00E41191" w:rsidRPr="00E01137">
              <w:t xml:space="preserve"> </w:t>
            </w:r>
            <w:r w:rsidRPr="00E01137">
              <w:t>days</w:t>
            </w:r>
            <w:r w:rsidR="00E01137">
              <w:t>.</w:t>
            </w:r>
          </w:p>
        </w:tc>
        <w:tc>
          <w:tcPr>
            <w:tcW w:w="1596" w:type="dxa"/>
            <w:vAlign w:val="center"/>
          </w:tcPr>
          <w:p w:rsidR="005851FC" w:rsidRPr="00E01137" w:rsidRDefault="005851FC" w:rsidP="00555CF5">
            <w:pPr>
              <w:pStyle w:val="TableText"/>
              <w:jc w:val="left"/>
            </w:pPr>
            <w:r w:rsidRPr="00E01137">
              <w:t>Expressed in percentage terms. Can only be positive. The smaller the number, the better.</w:t>
            </w:r>
          </w:p>
        </w:tc>
      </w:tr>
      <w:tr w:rsidR="00E01137" w:rsidTr="00555CF5">
        <w:tc>
          <w:tcPr>
            <w:tcW w:w="1188" w:type="dxa"/>
            <w:vAlign w:val="center"/>
          </w:tcPr>
          <w:p w:rsidR="005851FC" w:rsidRPr="00E01137" w:rsidRDefault="005851FC" w:rsidP="00555CF5">
            <w:pPr>
              <w:pStyle w:val="TableText"/>
            </w:pPr>
            <w:r w:rsidRPr="00E01137">
              <w:t>Goodness-of-fit</w:t>
            </w:r>
          </w:p>
        </w:tc>
        <w:tc>
          <w:tcPr>
            <w:tcW w:w="1080" w:type="dxa"/>
            <w:vAlign w:val="center"/>
          </w:tcPr>
          <w:p w:rsidR="005851FC" w:rsidRPr="00E01137" w:rsidRDefault="00E01137" w:rsidP="00555CF5">
            <w:pPr>
              <w:pStyle w:val="TableText"/>
            </w:pPr>
            <w:r w:rsidRPr="00E01137">
              <w:t>Program</w:t>
            </w:r>
          </w:p>
        </w:tc>
        <w:tc>
          <w:tcPr>
            <w:tcW w:w="1080" w:type="dxa"/>
            <w:vAlign w:val="center"/>
          </w:tcPr>
          <w:p w:rsidR="005851FC" w:rsidRPr="00E01137" w:rsidRDefault="00E01137" w:rsidP="00555CF5">
            <w:pPr>
              <w:pStyle w:val="TableText"/>
            </w:pPr>
            <w:r w:rsidRPr="00E01137">
              <w:t>Absolute Sum of Errors</w:t>
            </w:r>
          </w:p>
        </w:tc>
        <w:tc>
          <w:tcPr>
            <w:tcW w:w="2430" w:type="dxa"/>
            <w:vAlign w:val="center"/>
          </w:tcPr>
          <w:p w:rsidR="005851FC" w:rsidRPr="00E01137" w:rsidRDefault="00E01137" w:rsidP="00555CF5">
            <w:pPr>
              <w:pStyle w:val="TableText"/>
            </w:pPr>
            <w:r w:rsidRPr="00E01137">
              <w:rPr>
                <w:noProof/>
              </w:rPr>
              <w:drawing>
                <wp:inline distT="0" distB="0" distL="0" distR="0" wp14:anchorId="4B476C6F" wp14:editId="0E17C26F">
                  <wp:extent cx="904875" cy="419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904875" cy="419100"/>
                          </a:xfrm>
                          <a:prstGeom prst="rect">
                            <a:avLst/>
                          </a:prstGeom>
                        </pic:spPr>
                      </pic:pic>
                    </a:graphicData>
                  </a:graphic>
                </wp:inline>
              </w:drawing>
            </w:r>
          </w:p>
        </w:tc>
        <w:tc>
          <w:tcPr>
            <w:tcW w:w="2202" w:type="dxa"/>
            <w:vAlign w:val="center"/>
          </w:tcPr>
          <w:p w:rsidR="005851FC" w:rsidRPr="00E01137" w:rsidRDefault="00E01137" w:rsidP="00850FD1">
            <w:pPr>
              <w:pStyle w:val="TableText"/>
              <w:jc w:val="left"/>
            </w:pPr>
            <w:r w:rsidRPr="00E01137">
              <w:t xml:space="preserve">Sums up absolute errors for individual customers and </w:t>
            </w:r>
            <w:r w:rsidR="00850FD1">
              <w:t>proxy</w:t>
            </w:r>
            <w:r w:rsidR="00850FD1" w:rsidRPr="00E01137">
              <w:t xml:space="preserve"> </w:t>
            </w:r>
            <w:r w:rsidRPr="00E01137">
              <w:t>days</w:t>
            </w:r>
            <w:r>
              <w:t>.</w:t>
            </w:r>
          </w:p>
        </w:tc>
        <w:tc>
          <w:tcPr>
            <w:tcW w:w="1596" w:type="dxa"/>
            <w:vAlign w:val="center"/>
          </w:tcPr>
          <w:p w:rsidR="005851FC" w:rsidRPr="00E01137" w:rsidRDefault="00E01137" w:rsidP="00555CF5">
            <w:pPr>
              <w:pStyle w:val="TableText"/>
              <w:jc w:val="left"/>
            </w:pPr>
            <w:r w:rsidRPr="00E01137">
              <w:t>Expressed in kWh terms. Can only be positive. The smaller the number, the better.</w:t>
            </w:r>
          </w:p>
        </w:tc>
      </w:tr>
    </w:tbl>
    <w:p w:rsidR="006A7080" w:rsidRDefault="006A7080" w:rsidP="00E01137">
      <w:pPr>
        <w:pStyle w:val="BodyParaAfterTableFigure"/>
        <w:spacing w:after="0"/>
      </w:pPr>
      <w:r>
        <w:t>The statistics above use the following nomenclature:</w:t>
      </w:r>
    </w:p>
    <w:p w:rsidR="006A7080" w:rsidRPr="00372DF6" w:rsidRDefault="006A7080" w:rsidP="00E01137">
      <w:pPr>
        <w:pStyle w:val="Bullet"/>
      </w:pPr>
      <m:oMath>
        <m:r>
          <w:rPr>
            <w:rFonts w:ascii="Cambria Math" w:hAnsi="Cambria Math"/>
          </w:rPr>
          <m:t>y</m:t>
        </m:r>
      </m:oMath>
      <w:r w:rsidRPr="00372DF6">
        <w:t xml:space="preserve"> - treatment kWh</w:t>
      </w:r>
    </w:p>
    <w:p w:rsidR="006A7080" w:rsidRPr="00372DF6" w:rsidRDefault="001E777E" w:rsidP="00E01137">
      <w:pPr>
        <w:pStyle w:val="Bullet"/>
      </w:pPr>
      <m:oMath>
        <m:acc>
          <m:accPr>
            <m:ctrlPr>
              <w:rPr>
                <w:rFonts w:ascii="Cambria Math" w:hAnsi="Cambria Math"/>
                <w:i/>
                <w:iCs/>
              </w:rPr>
            </m:ctrlPr>
          </m:accPr>
          <m:e>
            <m:r>
              <w:rPr>
                <w:rFonts w:ascii="Cambria Math" w:hAnsi="Cambria Math"/>
              </w:rPr>
              <m:t>y</m:t>
            </m:r>
          </m:e>
        </m:acc>
      </m:oMath>
      <w:r w:rsidR="006A7080" w:rsidRPr="00372DF6">
        <w:t xml:space="preserve"> - control kWh</w:t>
      </w:r>
    </w:p>
    <w:p w:rsidR="006A7080" w:rsidRPr="00372DF6" w:rsidRDefault="006A7080" w:rsidP="00E01137">
      <w:pPr>
        <w:pStyle w:val="Bullet"/>
      </w:pPr>
      <m:oMath>
        <m:r>
          <w:rPr>
            <w:rFonts w:ascii="Cambria Math" w:hAnsi="Cambria Math"/>
          </w:rPr>
          <m:t>i</m:t>
        </m:r>
      </m:oMath>
      <w:r w:rsidRPr="00372DF6">
        <w:t xml:space="preserve"> - customers</w:t>
      </w:r>
    </w:p>
    <w:p w:rsidR="00850FD1" w:rsidRPr="00372DF6" w:rsidRDefault="00850FD1" w:rsidP="00850FD1">
      <w:pPr>
        <w:pStyle w:val="Bullet"/>
      </w:pPr>
      <m:oMath>
        <m:r>
          <w:rPr>
            <w:rFonts w:ascii="Cambria Math" w:hAnsi="Cambria Math"/>
          </w:rPr>
          <w:lastRenderedPageBreak/>
          <m:t>t</m:t>
        </m:r>
      </m:oMath>
      <w:r w:rsidRPr="00372DF6">
        <w:t xml:space="preserve"> - </w:t>
      </w:r>
      <w:r>
        <w:t>each individual proxy day</w:t>
      </w:r>
    </w:p>
    <w:p w:rsidR="006A7080" w:rsidRDefault="006A7080" w:rsidP="00E01137">
      <w:pPr>
        <w:pStyle w:val="Bullet"/>
      </w:pPr>
      <m:oMath>
        <m:r>
          <w:rPr>
            <w:rFonts w:ascii="Cambria Math" w:hAnsi="Cambria Math"/>
          </w:rPr>
          <m:t>n</m:t>
        </m:r>
      </m:oMath>
      <w:r w:rsidR="00850FD1" w:rsidRPr="00372DF6">
        <w:t xml:space="preserve"> - </w:t>
      </w:r>
      <w:r w:rsidR="00850FD1">
        <w:t>total number of proxy</w:t>
      </w:r>
      <w:r w:rsidRPr="00372DF6">
        <w:t xml:space="preserve"> days</w:t>
      </w:r>
    </w:p>
    <w:p w:rsidR="006A7080" w:rsidRDefault="006A7080" w:rsidP="005618D0">
      <w:pPr>
        <w:pStyle w:val="BodyParagraph"/>
      </w:pPr>
      <w:r>
        <w:t>The ultimate model selection was not performed in a rule-based fashion, but outcomes from the</w:t>
      </w:r>
      <w:r w:rsidR="00281F7C">
        <w:t> </w:t>
      </w:r>
      <w:r>
        <w:t>selection procedure were used to inform decision making</w:t>
      </w:r>
      <w:proofErr w:type="gramStart"/>
      <w:r>
        <w:t xml:space="preserve">.  </w:t>
      </w:r>
      <w:proofErr w:type="gramEnd"/>
      <w:r>
        <w:t>For example, while other model parameters were allowed to vary, Nexant decided to perform a hard match within industry for each IOU’s matching model</w:t>
      </w:r>
      <w:proofErr w:type="gramStart"/>
      <w:r>
        <w:t xml:space="preserve">.  </w:t>
      </w:r>
      <w:proofErr w:type="gramEnd"/>
      <w:r>
        <w:t>This decision was made to limit the seasonal variation that was observed in certain industries, such as schools, and on the basis of its intuitive sense</w:t>
      </w:r>
      <w:proofErr w:type="gramStart"/>
      <w:r>
        <w:t xml:space="preserve">. </w:t>
      </w:r>
      <w:r w:rsidR="00281F7C">
        <w:t xml:space="preserve"> </w:t>
      </w:r>
      <w:proofErr w:type="gramEnd"/>
      <w:r>
        <w:t>The final</w:t>
      </w:r>
      <w:r w:rsidR="00281F7C">
        <w:t> </w:t>
      </w:r>
      <w:r>
        <w:t>model was then selected on the basis of average percent error, taking into account both its</w:t>
      </w:r>
      <w:r w:rsidR="00281F7C">
        <w:t> </w:t>
      </w:r>
      <w:r>
        <w:t>absolute value and its deviation across the excluded days, provided that the absolute sum of</w:t>
      </w:r>
      <w:r w:rsidR="00281F7C">
        <w:t> </w:t>
      </w:r>
      <w:r>
        <w:t>errors was acceptable relative to other potential models</w:t>
      </w:r>
      <w:proofErr w:type="gramStart"/>
      <w:r>
        <w:t xml:space="preserve">. </w:t>
      </w:r>
      <w:r w:rsidR="00281F7C">
        <w:t xml:space="preserve"> </w:t>
      </w:r>
      <w:proofErr w:type="gramEnd"/>
      <w:r>
        <w:t>The final model and its associated summary statistics and rankings are presented in Appendix B</w:t>
      </w:r>
      <w:proofErr w:type="gramStart"/>
      <w:r>
        <w:t xml:space="preserve">.  </w:t>
      </w:r>
      <w:proofErr w:type="gramEnd"/>
      <w:r>
        <w:t xml:space="preserve">For purposes of comparison, the </w:t>
      </w:r>
      <w:r w:rsidR="00281F7C">
        <w:t xml:space="preserve">50 </w:t>
      </w:r>
      <w:r>
        <w:t>best performing models of those tested</w:t>
      </w:r>
      <w:r w:rsidR="00281F7C">
        <w:t xml:space="preserve"> are presented</w:t>
      </w:r>
      <w:r>
        <w:t>, as well as the worst performing.</w:t>
      </w:r>
    </w:p>
    <w:p w:rsidR="006A7080" w:rsidRDefault="006A7080" w:rsidP="00E01137">
      <w:pPr>
        <w:pStyle w:val="Heading3"/>
      </w:pPr>
      <w:bookmarkStart w:id="78" w:name="_Toc412650585"/>
      <w:bookmarkStart w:id="79" w:name="_Toc415494756"/>
      <w:r w:rsidRPr="00E01137">
        <w:t>Control</w:t>
      </w:r>
      <w:r>
        <w:t xml:space="preserve"> Group Selection</w:t>
      </w:r>
      <w:bookmarkEnd w:id="78"/>
      <w:bookmarkEnd w:id="79"/>
    </w:p>
    <w:p w:rsidR="006A7080" w:rsidRDefault="006A7080" w:rsidP="006A7080">
      <w:pPr>
        <w:pStyle w:val="BodyParagraph"/>
      </w:pPr>
      <w:r>
        <w:t>The control group was selected from customers who were not on CPP rates, but were on the otherwise applicable TOU tariff</w:t>
      </w:r>
      <w:proofErr w:type="gramStart"/>
      <w:r>
        <w:t xml:space="preserve">.  </w:t>
      </w:r>
      <w:proofErr w:type="gramEnd"/>
      <w:r>
        <w:t xml:space="preserve">The best performing </w:t>
      </w:r>
      <w:proofErr w:type="spellStart"/>
      <w:r>
        <w:t>probit</w:t>
      </w:r>
      <w:proofErr w:type="spellEnd"/>
      <w:r>
        <w:t xml:space="preserve"> model and caliper were used to select customers from the control pool</w:t>
      </w:r>
      <w:proofErr w:type="gramStart"/>
      <w:r>
        <w:t xml:space="preserve">.  </w:t>
      </w:r>
      <w:proofErr w:type="gramEnd"/>
      <w:r>
        <w:t>The majority of CPP customers were successfully matched: 98% for PG&amp;E</w:t>
      </w:r>
      <w:r w:rsidR="00281F7C">
        <w:t>;</w:t>
      </w:r>
      <w:r>
        <w:t xml:space="preserve"> 84% for SCE</w:t>
      </w:r>
      <w:r w:rsidR="00281F7C">
        <w:t>;</w:t>
      </w:r>
      <w:r>
        <w:t xml:space="preserve"> and 93% for SDG&amp;E</w:t>
      </w:r>
      <w:proofErr w:type="gramStart"/>
      <w:r>
        <w:t xml:space="preserve">.  </w:t>
      </w:r>
      <w:proofErr w:type="gramEnd"/>
      <w:r>
        <w:t>Customers who were not matched were moved to the individual customer regression group</w:t>
      </w:r>
      <w:proofErr w:type="gramStart"/>
      <w:r>
        <w:t xml:space="preserve">.  </w:t>
      </w:r>
      <w:proofErr w:type="gramEnd"/>
      <w:r w:rsidRPr="00EB4282">
        <w:t>Some control group customers were selected more than once</w:t>
      </w:r>
      <w:r w:rsidR="00281F7C">
        <w:rPr>
          <w:rFonts w:cs="Arial"/>
        </w:rPr>
        <w:t>—</w:t>
      </w:r>
      <w:r w:rsidRPr="00EB4282">
        <w:t xml:space="preserve">that is, if customer A was the best match for both customer B and customer C, </w:t>
      </w:r>
      <w:r>
        <w:t>it was chosen</w:t>
      </w:r>
      <w:r w:rsidRPr="00EB4282">
        <w:t xml:space="preserve"> twice</w:t>
      </w:r>
      <w:proofErr w:type="gramStart"/>
      <w:r w:rsidRPr="00EB4282">
        <w:t>.</w:t>
      </w:r>
      <w:r>
        <w:t xml:space="preserve">  </w:t>
      </w:r>
      <w:proofErr w:type="gramEnd"/>
      <w:r>
        <w:t>Figure 3-</w:t>
      </w:r>
      <w:r w:rsidR="008F7C35">
        <w:t>4</w:t>
      </w:r>
      <w:r>
        <w:t xml:space="preserve"> shows load for the matched treatment and control customers on the average proxy event day</w:t>
      </w:r>
      <w:proofErr w:type="gramStart"/>
      <w:r>
        <w:t xml:space="preserve">.  </w:t>
      </w:r>
      <w:proofErr w:type="gramEnd"/>
      <w:r>
        <w:t>The loads match closely, particularly during event hours</w:t>
      </w:r>
      <w:proofErr w:type="gramStart"/>
      <w:r>
        <w:t xml:space="preserve">.  </w:t>
      </w:r>
      <w:proofErr w:type="gramEnd"/>
      <w:r>
        <w:t xml:space="preserve">As explained in the next section, even these small differences are largely controlled for using the difference-in-differences methodology.  </w:t>
      </w:r>
    </w:p>
    <w:p w:rsidR="006A7080" w:rsidRPr="002C0E34" w:rsidRDefault="006A7080" w:rsidP="00E01137">
      <w:pPr>
        <w:pStyle w:val="TableFigureCaption"/>
      </w:pPr>
      <w:r w:rsidRPr="002C0E34">
        <w:lastRenderedPageBreak/>
        <w:t>Figure 3-</w:t>
      </w:r>
      <w:r w:rsidR="008F7C35">
        <w:t>4</w:t>
      </w:r>
      <w:r w:rsidRPr="002C0E34">
        <w:t xml:space="preserve">: Comparison of </w:t>
      </w:r>
      <w:r>
        <w:t xml:space="preserve">Matched Treatment and </w:t>
      </w:r>
      <w:r w:rsidR="00511EAC">
        <w:br/>
      </w:r>
      <w:r>
        <w:t>Control Group Load on Average Proxy Event Day</w:t>
      </w:r>
    </w:p>
    <w:p w:rsidR="00022617" w:rsidRDefault="006A7080" w:rsidP="006A7080">
      <w:pPr>
        <w:pStyle w:val="BodyParagraph"/>
        <w:jc w:val="center"/>
      </w:pPr>
      <w:r>
        <w:rPr>
          <w:noProof/>
        </w:rPr>
        <w:drawing>
          <wp:inline distT="0" distB="0" distL="0" distR="0" wp14:anchorId="408AC336" wp14:editId="266FD2E0">
            <wp:extent cx="4993018" cy="3653778"/>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006872" cy="3663916"/>
                    </a:xfrm>
                    <a:prstGeom prst="rect">
                      <a:avLst/>
                    </a:prstGeom>
                    <a:noFill/>
                    <a:ln>
                      <a:noFill/>
                    </a:ln>
                  </pic:spPr>
                </pic:pic>
              </a:graphicData>
            </a:graphic>
          </wp:inline>
        </w:drawing>
      </w:r>
    </w:p>
    <w:p w:rsidR="006A7080" w:rsidRDefault="006A7080" w:rsidP="00E01137">
      <w:pPr>
        <w:pStyle w:val="Heading3"/>
      </w:pPr>
      <w:bookmarkStart w:id="80" w:name="_Toc412650586"/>
      <w:bookmarkStart w:id="81" w:name="_Toc415494757"/>
      <w:r>
        <w:t>Difference-in-</w:t>
      </w:r>
      <w:r w:rsidR="00511EAC">
        <w:t>d</w:t>
      </w:r>
      <w:r>
        <w:t>ifferences</w:t>
      </w:r>
      <w:bookmarkEnd w:id="80"/>
      <w:bookmarkEnd w:id="81"/>
    </w:p>
    <w:p w:rsidR="006A7080" w:rsidRDefault="006A7080" w:rsidP="006A7080">
      <w:pPr>
        <w:pStyle w:val="BodyParagraph"/>
      </w:pPr>
      <w:r>
        <w:t>Using the matched control groups, 2014 ex post CPP load impacts were estimated for the majority of customers with</w:t>
      </w:r>
      <w:r w:rsidRPr="00271C2F">
        <w:t xml:space="preserve"> </w:t>
      </w:r>
      <w:r>
        <w:t xml:space="preserve">the </w:t>
      </w:r>
      <w:r w:rsidRPr="00271C2F">
        <w:t>difference-in-differences</w:t>
      </w:r>
      <w:r>
        <w:t xml:space="preserve"> approach</w:t>
      </w:r>
      <w:proofErr w:type="gramStart"/>
      <w:r>
        <w:t xml:space="preserve">.  </w:t>
      </w:r>
      <w:proofErr w:type="gramEnd"/>
      <w:r>
        <w:t xml:space="preserve">Figure </w:t>
      </w:r>
      <w:r w:rsidR="00E32676">
        <w:t>3-5</w:t>
      </w:r>
      <w:r>
        <w:t xml:space="preserve"> illustrates the process conceptually</w:t>
      </w:r>
      <w:proofErr w:type="gramStart"/>
      <w:r>
        <w:t xml:space="preserve">.  </w:t>
      </w:r>
      <w:proofErr w:type="gramEnd"/>
      <w:r>
        <w:t xml:space="preserve">The left side of the figure shows hourly loads for CPP participants and control </w:t>
      </w:r>
      <w:r w:rsidRPr="004F0234">
        <w:t>customers</w:t>
      </w:r>
      <w:r>
        <w:t xml:space="preserve"> during proxy CPP days that have similar exogenous conditions, such as weather, as those that occur on event days</w:t>
      </w:r>
      <w:proofErr w:type="gramStart"/>
      <w:r>
        <w:t xml:space="preserve">.  </w:t>
      </w:r>
      <w:proofErr w:type="gramEnd"/>
      <w:r>
        <w:t xml:space="preserve">The loads on proxy </w:t>
      </w:r>
      <w:r w:rsidRPr="0094595E">
        <w:t>days</w:t>
      </w:r>
      <w:r>
        <w:t xml:space="preserve"> closely mirror each other for the two customer groups, indicating that the control group load is a good reference load for CPP participants.</w:t>
      </w:r>
    </w:p>
    <w:p w:rsidR="006A7080" w:rsidRDefault="006A7080" w:rsidP="006A7080">
      <w:pPr>
        <w:pStyle w:val="BodyParagraph"/>
      </w:pPr>
      <w:r>
        <w:t>The right side of Figure 3-</w:t>
      </w:r>
      <w:r w:rsidR="008F7C35">
        <w:t>5</w:t>
      </w:r>
      <w:r>
        <w:t xml:space="preserve"> shows the hourly loads for CPP participants and the control group on event days</w:t>
      </w:r>
      <w:proofErr w:type="gramStart"/>
      <w:r>
        <w:t xml:space="preserve">.  </w:t>
      </w:r>
      <w:proofErr w:type="gramEnd"/>
      <w:r>
        <w:t>As expected, the loads for the two groups diverge during event hours</w:t>
      </w:r>
      <w:proofErr w:type="gramStart"/>
      <w:r>
        <w:t xml:space="preserve">.  </w:t>
      </w:r>
      <w:proofErr w:type="gramEnd"/>
      <w:r>
        <w:t xml:space="preserve">Since the only known difference between the two groups is the fact that CPP customers face higher prices and control customers do not, the difference in observed loads can be attributed to the higher CPP prices on event days.   </w:t>
      </w:r>
    </w:p>
    <w:p w:rsidR="006A7080" w:rsidRPr="00E01137" w:rsidRDefault="006A7080" w:rsidP="00E01137">
      <w:pPr>
        <w:pStyle w:val="TableFigureCaption"/>
      </w:pPr>
      <w:r w:rsidRPr="00E01137">
        <w:lastRenderedPageBreak/>
        <w:t>Figure 3-</w:t>
      </w:r>
      <w:r w:rsidR="008F7C35">
        <w:t>5</w:t>
      </w:r>
      <w:r w:rsidRPr="00E01137">
        <w:t>: Example of Difference-in-differences Calculation (SCE)</w:t>
      </w:r>
    </w:p>
    <w:p w:rsidR="006A7080" w:rsidRDefault="006A7080" w:rsidP="006A7080">
      <w:pPr>
        <w:pStyle w:val="BodyParagraph"/>
        <w:jc w:val="center"/>
      </w:pPr>
      <w:r>
        <w:rPr>
          <w:noProof/>
        </w:rPr>
        <w:drawing>
          <wp:inline distT="0" distB="0" distL="0" distR="0" wp14:anchorId="2AF99033" wp14:editId="431DD08A">
            <wp:extent cx="5289047" cy="2881895"/>
            <wp:effectExtent l="0" t="0" r="6985"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97697" cy="2886608"/>
                    </a:xfrm>
                    <a:prstGeom prst="rect">
                      <a:avLst/>
                    </a:prstGeom>
                    <a:noFill/>
                    <a:ln w="9525">
                      <a:noFill/>
                      <a:miter lim="800000"/>
                      <a:headEnd/>
                      <a:tailEnd/>
                    </a:ln>
                  </pic:spPr>
                </pic:pic>
              </a:graphicData>
            </a:graphic>
          </wp:inline>
        </w:drawing>
      </w:r>
    </w:p>
    <w:p w:rsidR="006A7080" w:rsidRDefault="006A7080" w:rsidP="00555CF5">
      <w:pPr>
        <w:pStyle w:val="BodyParaAfterTableFigure"/>
      </w:pPr>
      <w:r>
        <w:t>The difference-in-differences calculation refines the impact estimates by netting out the small differences between the two groups observed during proxy event days (when CPP prices were not in effect for either group)</w:t>
      </w:r>
      <w:proofErr w:type="gramStart"/>
      <w:r>
        <w:t xml:space="preserve">.  </w:t>
      </w:r>
      <w:proofErr w:type="gramEnd"/>
      <w:r>
        <w:t>This is illustrated on the right-hand side of Figure 3-6, at the bottom of the graph, where both the event-day weather difference and the difference-in-differences are shown</w:t>
      </w:r>
      <w:proofErr w:type="gramStart"/>
      <w:r>
        <w:t xml:space="preserve">.  </w:t>
      </w:r>
      <w:proofErr w:type="gramEnd"/>
      <w:r>
        <w:t xml:space="preserve">Overall, the </w:t>
      </w:r>
      <w:r w:rsidRPr="00555CF5">
        <w:t>adjustment</w:t>
      </w:r>
      <w:r>
        <w:t xml:space="preserve"> is small, primarily because CPP participant and</w:t>
      </w:r>
      <w:r w:rsidR="00511EAC">
        <w:t> </w:t>
      </w:r>
      <w:r>
        <w:t>control group electricity use patterns are nearly identical during non-event days</w:t>
      </w:r>
      <w:proofErr w:type="gramStart"/>
      <w:r>
        <w:t xml:space="preserve">.  </w:t>
      </w:r>
      <w:proofErr w:type="gramEnd"/>
      <w:r>
        <w:t xml:space="preserve">However, such differences can be larger for specific customer segments.  </w:t>
      </w:r>
    </w:p>
    <w:p w:rsidR="006A7080" w:rsidRDefault="006A7080" w:rsidP="006A7080">
      <w:pPr>
        <w:pStyle w:val="BodyParaAfterTableFigure"/>
      </w:pPr>
      <w:r>
        <w:t>While load impact estimates using difference-in-differences calculations can be done</w:t>
      </w:r>
      <w:r w:rsidR="00687C12">
        <w:t> </w:t>
      </w:r>
      <w:r>
        <w:t>arithmetically, that is, by subtracting the difference in observed loads between the</w:t>
      </w:r>
      <w:r w:rsidR="00511EAC">
        <w:t> </w:t>
      </w:r>
      <w:r>
        <w:t>two</w:t>
      </w:r>
      <w:r w:rsidR="00511EAC">
        <w:t> </w:t>
      </w:r>
      <w:r>
        <w:t>groups</w:t>
      </w:r>
      <w:r w:rsidR="00687C12">
        <w:t> </w:t>
      </w:r>
      <w:r>
        <w:t>on proxy days from the difference on event days, the analysis can also be</w:t>
      </w:r>
      <w:r w:rsidR="00687C12">
        <w:t> </w:t>
      </w:r>
      <w:r>
        <w:t>done</w:t>
      </w:r>
      <w:r w:rsidR="00511EAC">
        <w:t> </w:t>
      </w:r>
      <w:r>
        <w:t>using regressions</w:t>
      </w:r>
      <w:proofErr w:type="gramStart"/>
      <w:r>
        <w:t xml:space="preserve">.  </w:t>
      </w:r>
      <w:proofErr w:type="gramEnd"/>
      <w:r>
        <w:t>The</w:t>
      </w:r>
      <w:r w:rsidRPr="000D5481">
        <w:t xml:space="preserve"> regressions are used to produce correct standard errors</w:t>
      </w:r>
      <w:proofErr w:type="gramStart"/>
      <w:r>
        <w:t xml:space="preserve">.  </w:t>
      </w:r>
      <w:proofErr w:type="gramEnd"/>
      <w:r>
        <w:t xml:space="preserve">Importantly, </w:t>
      </w:r>
      <w:r w:rsidRPr="000D5481">
        <w:t>the simple diff</w:t>
      </w:r>
      <w:r>
        <w:t>erence-in-</w:t>
      </w:r>
      <w:r w:rsidRPr="000D5481">
        <w:t>diff</w:t>
      </w:r>
      <w:r>
        <w:t>erences regression</w:t>
      </w:r>
      <w:r w:rsidRPr="000D5481">
        <w:t xml:space="preserve"> produces exactly the same results as a hand calculation</w:t>
      </w:r>
      <w:proofErr w:type="gramStart"/>
      <w:r>
        <w:t xml:space="preserve">.  </w:t>
      </w:r>
      <w:proofErr w:type="gramEnd"/>
      <w:r w:rsidRPr="009C4B38">
        <w:t>Thi</w:t>
      </w:r>
      <w:r>
        <w:t>s approach makes full use of non-event and event day data for CPP and control group customers</w:t>
      </w:r>
      <w:proofErr w:type="gramStart"/>
      <w:r>
        <w:t xml:space="preserve">.  </w:t>
      </w:r>
      <w:proofErr w:type="gramEnd"/>
      <w:r>
        <w:t>I</w:t>
      </w:r>
      <w:r w:rsidRPr="009C4B38">
        <w:t xml:space="preserve">t takes into account whether peak </w:t>
      </w:r>
      <w:r>
        <w:t xml:space="preserve">load </w:t>
      </w:r>
      <w:r w:rsidRPr="009C4B38">
        <w:t xml:space="preserve">patterns changed for </w:t>
      </w:r>
      <w:r>
        <w:t>CPP customers and whether load</w:t>
      </w:r>
      <w:r w:rsidRPr="009C4B38">
        <w:t xml:space="preserve"> patterns changed for customers who did not experience </w:t>
      </w:r>
      <w:r>
        <w:t>CPP</w:t>
      </w:r>
      <w:r w:rsidR="00511EAC">
        <w:t> </w:t>
      </w:r>
      <w:r>
        <w:t>prices</w:t>
      </w:r>
      <w:proofErr w:type="gramStart"/>
      <w:r>
        <w:t>.</w:t>
      </w:r>
      <w:r w:rsidRPr="009C4B38">
        <w:t xml:space="preserve">  </w:t>
      </w:r>
      <w:proofErr w:type="gramEnd"/>
      <w:r w:rsidRPr="009C4B38">
        <w:t xml:space="preserve">It also accounts for differences between </w:t>
      </w:r>
      <w:r>
        <w:t xml:space="preserve">CPP participants and </w:t>
      </w:r>
      <w:r w:rsidRPr="009C4B38">
        <w:t xml:space="preserve">the control group observed </w:t>
      </w:r>
      <w:r>
        <w:t xml:space="preserve">during non-event days. </w:t>
      </w:r>
      <w:r w:rsidRPr="009C4B38">
        <w:t xml:space="preserve">  </w:t>
      </w:r>
      <w:r>
        <w:t xml:space="preserve"> </w:t>
      </w:r>
    </w:p>
    <w:p w:rsidR="006A7080" w:rsidRDefault="006A7080" w:rsidP="006A7080">
      <w:pPr>
        <w:pStyle w:val="BodyParagraph"/>
      </w:pPr>
      <w:r>
        <w:t>The regression analysis employed a simple model that relies on no explanatory variables other</w:t>
      </w:r>
      <w:r w:rsidR="00687C12">
        <w:t> </w:t>
      </w:r>
      <w:r>
        <w:t>than customer fixed effects and time effects.</w:t>
      </w:r>
      <w:r>
        <w:rPr>
          <w:rStyle w:val="FootnoteReference"/>
        </w:rPr>
        <w:footnoteReference w:id="11"/>
      </w:r>
      <w:proofErr w:type="gramStart"/>
      <w:r>
        <w:t xml:space="preserve">  </w:t>
      </w:r>
      <w:proofErr w:type="gramEnd"/>
      <w:r>
        <w:t>This model does not rely on modeling the</w:t>
      </w:r>
      <w:r w:rsidR="00687C12">
        <w:t> </w:t>
      </w:r>
      <w:r>
        <w:t>relationship between customers’ electricity usage and other factors such as weather; it is</w:t>
      </w:r>
      <w:r w:rsidR="00687C12">
        <w:t> </w:t>
      </w:r>
      <w:r>
        <w:t xml:space="preserve">informed by control group customers that experience the event day weather, but do not </w:t>
      </w:r>
      <w:r>
        <w:lastRenderedPageBreak/>
        <w:t>experience the CPP event day prices.</w:t>
      </w:r>
      <w:r>
        <w:rPr>
          <w:rStyle w:val="FootnoteReference"/>
        </w:rPr>
        <w:footnoteReference w:id="12"/>
      </w:r>
      <w:proofErr w:type="gramStart"/>
      <w:r>
        <w:t xml:space="preserve">  </w:t>
      </w:r>
      <w:proofErr w:type="gramEnd"/>
      <w:r>
        <w:t>Appendix C describes the mathematical representation of the model</w:t>
      </w:r>
      <w:proofErr w:type="gramStart"/>
      <w:r>
        <w:t xml:space="preserve">.  </w:t>
      </w:r>
      <w:proofErr w:type="gramEnd"/>
      <w:r>
        <w:t xml:space="preserve">It also includes the hourly regression coefficients, standard </w:t>
      </w:r>
      <w:proofErr w:type="gramStart"/>
      <w:r>
        <w:t>errors</w:t>
      </w:r>
      <w:proofErr w:type="gramEnd"/>
      <w:r>
        <w:t xml:space="preserve"> and R-squared values for the average event day regressions for each of the utilities.</w:t>
      </w:r>
    </w:p>
    <w:p w:rsidR="006A7080" w:rsidRDefault="006A7080" w:rsidP="00E01137">
      <w:pPr>
        <w:pStyle w:val="Heading3"/>
      </w:pPr>
      <w:bookmarkStart w:id="82" w:name="_Toc412650587"/>
      <w:bookmarkStart w:id="83" w:name="_Toc415494758"/>
      <w:r>
        <w:t>Individual Customers Regressions</w:t>
      </w:r>
      <w:bookmarkEnd w:id="82"/>
      <w:bookmarkEnd w:id="83"/>
    </w:p>
    <w:p w:rsidR="006A7080" w:rsidRPr="00312032" w:rsidRDefault="006A7080" w:rsidP="006A7080">
      <w:pPr>
        <w:pStyle w:val="BodyParagraph"/>
        <w:rPr>
          <w:rFonts w:cs="Arial"/>
          <w:szCs w:val="20"/>
        </w:rPr>
      </w:pPr>
      <w:r>
        <w:rPr>
          <w:rFonts w:cs="Arial"/>
          <w:szCs w:val="20"/>
        </w:rPr>
        <w:t>As its name suggests, this type of analysis</w:t>
      </w:r>
      <w:r w:rsidRPr="00BA5755">
        <w:rPr>
          <w:rFonts w:cs="Arial"/>
          <w:szCs w:val="20"/>
        </w:rPr>
        <w:t xml:space="preserve"> consists of applying regression models </w:t>
      </w:r>
      <w:r>
        <w:rPr>
          <w:rFonts w:cs="Arial"/>
          <w:szCs w:val="20"/>
        </w:rPr>
        <w:t xml:space="preserve">to the hourly load data for each individual </w:t>
      </w:r>
      <w:r w:rsidRPr="00BA5755">
        <w:rPr>
          <w:rFonts w:cs="Arial"/>
          <w:szCs w:val="20"/>
        </w:rPr>
        <w:t>customer</w:t>
      </w:r>
      <w:proofErr w:type="gramStart"/>
      <w:r w:rsidRPr="00BA5755">
        <w:rPr>
          <w:rFonts w:cs="Arial"/>
          <w:szCs w:val="20"/>
        </w:rPr>
        <w:t xml:space="preserve">.  </w:t>
      </w:r>
      <w:proofErr w:type="gramEnd"/>
      <w:r w:rsidRPr="00BA5755">
        <w:rPr>
          <w:rFonts w:cs="Arial"/>
          <w:szCs w:val="20"/>
        </w:rPr>
        <w:t>The estimated coefficients vary for each customer</w:t>
      </w:r>
      <w:r>
        <w:rPr>
          <w:rFonts w:cs="Arial"/>
          <w:szCs w:val="20"/>
        </w:rPr>
        <w:t>, as does the amount of data used for each customer</w:t>
      </w:r>
      <w:proofErr w:type="gramStart"/>
      <w:r>
        <w:rPr>
          <w:rFonts w:cs="Arial"/>
          <w:szCs w:val="20"/>
        </w:rPr>
        <w:t xml:space="preserve">. </w:t>
      </w:r>
      <w:r w:rsidRPr="00BA5755">
        <w:rPr>
          <w:rFonts w:cs="Arial"/>
          <w:szCs w:val="20"/>
        </w:rPr>
        <w:t xml:space="preserve"> </w:t>
      </w:r>
      <w:proofErr w:type="gramEnd"/>
      <w:r w:rsidRPr="00BA5755">
        <w:rPr>
          <w:rFonts w:cs="Arial"/>
          <w:szCs w:val="20"/>
        </w:rPr>
        <w:t>The fact that each customer has its own</w:t>
      </w:r>
      <w:r>
        <w:rPr>
          <w:rFonts w:cs="Arial"/>
          <w:szCs w:val="20"/>
        </w:rPr>
        <w:t xml:space="preserve"> parameters</w:t>
      </w:r>
      <w:r w:rsidRPr="00BA5755">
        <w:rPr>
          <w:rFonts w:cs="Arial"/>
          <w:szCs w:val="20"/>
        </w:rPr>
        <w:t xml:space="preserve"> automatically accounts for variables that are constant for each customer, such as industry and geographic location</w:t>
      </w:r>
      <w:proofErr w:type="gramStart"/>
      <w:r w:rsidRPr="00BA5755">
        <w:rPr>
          <w:rFonts w:cs="Arial"/>
          <w:szCs w:val="20"/>
        </w:rPr>
        <w:t>.</w:t>
      </w:r>
      <w:r>
        <w:rPr>
          <w:rFonts w:cs="Arial"/>
          <w:szCs w:val="20"/>
        </w:rPr>
        <w:t xml:space="preserve">  </w:t>
      </w:r>
      <w:proofErr w:type="gramEnd"/>
      <w:r>
        <w:t xml:space="preserve">Customer specific regressions were only used for customers for </w:t>
      </w:r>
      <w:proofErr w:type="gramStart"/>
      <w:r>
        <w:t>which</w:t>
      </w:r>
      <w:proofErr w:type="gramEnd"/>
      <w:r>
        <w:t xml:space="preserve"> an adequate control group match could not be found.</w:t>
      </w:r>
      <w:r>
        <w:rPr>
          <w:rStyle w:val="FootnoteReference"/>
        </w:rPr>
        <w:footnoteReference w:id="13"/>
      </w:r>
      <w:r>
        <w:t xml:space="preserve"> </w:t>
      </w:r>
    </w:p>
    <w:p w:rsidR="006A7080" w:rsidRDefault="006A7080" w:rsidP="006A7080">
      <w:pPr>
        <w:pStyle w:val="BodyBeforeBullet"/>
      </w:pPr>
      <w:r>
        <w:t xml:space="preserve">For each customer, we: </w:t>
      </w:r>
    </w:p>
    <w:p w:rsidR="006A7080" w:rsidRDefault="006A7080" w:rsidP="006A7080">
      <w:pPr>
        <w:pStyle w:val="Bullets"/>
        <w:tabs>
          <w:tab w:val="num" w:pos="720"/>
        </w:tabs>
        <w:ind w:left="720"/>
      </w:pPr>
      <w:r>
        <w:t>Analyzed hot weekdays from 2014</w:t>
      </w:r>
      <w:proofErr w:type="gramStart"/>
      <w:r>
        <w:t xml:space="preserve">.  </w:t>
      </w:r>
      <w:proofErr w:type="gramEnd"/>
      <w:r>
        <w:t>To the extent possible, the regressions for each customer excluded cooler days, which typically do not provide much information about behavior under event conditions</w:t>
      </w:r>
      <w:proofErr w:type="gramStart"/>
      <w:r>
        <w:t xml:space="preserve">.  </w:t>
      </w:r>
      <w:proofErr w:type="gramEnd"/>
      <w:r>
        <w:t>For example, if the lowest event day maximum temperature a customer experienced was 100°F, only days that exceed 85% of 100°F (or 85°F) were included.</w:t>
      </w:r>
    </w:p>
    <w:p w:rsidR="006A7080" w:rsidRDefault="006A7080" w:rsidP="006A7080">
      <w:pPr>
        <w:pStyle w:val="Bullets"/>
        <w:tabs>
          <w:tab w:val="num" w:pos="720"/>
        </w:tabs>
        <w:ind w:left="720"/>
      </w:pPr>
      <w:r>
        <w:t>Estimated 10 different regression models and used them to predict out-of-sample for event-like days where, in fact, CPP events were not called</w:t>
      </w:r>
      <w:proofErr w:type="gramStart"/>
      <w:r>
        <w:t xml:space="preserve">.  </w:t>
      </w:r>
      <w:proofErr w:type="gramEnd"/>
      <w:r>
        <w:t>This allowed us to identify the regression model that produced the most accurate results for each customer</w:t>
      </w:r>
      <w:proofErr w:type="gramStart"/>
      <w:r>
        <w:t xml:space="preserve">.  </w:t>
      </w:r>
      <w:proofErr w:type="gramEnd"/>
      <w:r>
        <w:t>The 10 models vary in how weather variables were defined, if at all, and in the inclusion of monthly or seasonal variables.</w:t>
      </w:r>
    </w:p>
    <w:p w:rsidR="006A7080" w:rsidRDefault="006A7080" w:rsidP="006A7080">
      <w:pPr>
        <w:pStyle w:val="BulletLast"/>
        <w:tabs>
          <w:tab w:val="num" w:pos="720"/>
        </w:tabs>
        <w:ind w:left="720"/>
      </w:pPr>
      <w:r>
        <w:t xml:space="preserve">Selected the most accurate model specification and used it to estimate demand reductions during actual event days.  </w:t>
      </w:r>
    </w:p>
    <w:p w:rsidR="006A7080" w:rsidRDefault="006A7080" w:rsidP="006A7080">
      <w:pPr>
        <w:pStyle w:val="BodyParagraph"/>
      </w:pPr>
      <w:r>
        <w:t xml:space="preserve">Appendix D provides more detail regarding the regression model specifications tested. </w:t>
      </w:r>
      <w:bookmarkStart w:id="84" w:name="_Toc352230570"/>
      <w:bookmarkStart w:id="85" w:name="_Toc351455154"/>
      <w:bookmarkStart w:id="86" w:name="_Toc352323629"/>
      <w:bookmarkEnd w:id="84"/>
    </w:p>
    <w:p w:rsidR="006A7080" w:rsidRDefault="006A7080" w:rsidP="00E01137">
      <w:pPr>
        <w:pStyle w:val="Heading2"/>
      </w:pPr>
      <w:bookmarkStart w:id="87" w:name="_Toc412650588"/>
      <w:bookmarkStart w:id="88" w:name="_Toc415494759"/>
      <w:r w:rsidRPr="00E01137">
        <w:t>Ex</w:t>
      </w:r>
      <w:r w:rsidR="00431D88">
        <w:t xml:space="preserve"> A</w:t>
      </w:r>
      <w:r>
        <w:t>nte Load Impact Estimation</w:t>
      </w:r>
      <w:bookmarkEnd w:id="87"/>
      <w:bookmarkEnd w:id="88"/>
    </w:p>
    <w:p w:rsidR="006A7080" w:rsidRDefault="006A7080" w:rsidP="006A7080">
      <w:pPr>
        <w:pStyle w:val="BodyParagraph"/>
      </w:pPr>
      <w:r>
        <w:t>Ex ante impacts are designed to reflect demand reduction capabilities under a standard set</w:t>
      </w:r>
      <w:r w:rsidR="00E52EA4">
        <w:t> </w:t>
      </w:r>
      <w:r>
        <w:t>of</w:t>
      </w:r>
      <w:r w:rsidR="00E52EA4">
        <w:t> </w:t>
      </w:r>
      <w:r>
        <w:t>peak hours, 1</w:t>
      </w:r>
      <w:r w:rsidR="00511EAC">
        <w:t xml:space="preserve"> to </w:t>
      </w:r>
      <w:r>
        <w:t>6 PM for the summer season, under both 1-in-2 and 1-in-10 weather conditions</w:t>
      </w:r>
      <w:proofErr w:type="gramStart"/>
      <w:r>
        <w:t xml:space="preserve">.  </w:t>
      </w:r>
      <w:proofErr w:type="gramEnd"/>
      <w:r>
        <w:t>As a result, estimating the relationship between weather and demand reductions is critical</w:t>
      </w:r>
      <w:proofErr w:type="gramStart"/>
      <w:r>
        <w:t xml:space="preserve">.  </w:t>
      </w:r>
      <w:proofErr w:type="gramEnd"/>
      <w:r>
        <w:t xml:space="preserve">It is preferable to base ex ante impacts on numerous ex post events over </w:t>
      </w:r>
      <w:r w:rsidR="00431D88">
        <w:t>two to three</w:t>
      </w:r>
      <w:r>
        <w:t xml:space="preserve"> years (as long as the population of participants is fairly constant over that historical period); a broader perspective allows for a better assessment of overall performance and volatility in demand reductions</w:t>
      </w:r>
      <w:proofErr w:type="gramStart"/>
      <w:r>
        <w:t xml:space="preserve">.  </w:t>
      </w:r>
      <w:proofErr w:type="gramEnd"/>
      <w:r>
        <w:t>It also can help determine whether factors such as weather affect percent demand reductions</w:t>
      </w:r>
      <w:proofErr w:type="gramStart"/>
      <w:r>
        <w:t xml:space="preserve">.  </w:t>
      </w:r>
      <w:proofErr w:type="gramEnd"/>
      <w:r w:rsidRPr="00C21455">
        <w:t>Too few data points weaken</w:t>
      </w:r>
      <w:r>
        <w:t xml:space="preserve"> </w:t>
      </w:r>
      <w:r w:rsidRPr="00C21455">
        <w:t>the ability to produce reliab</w:t>
      </w:r>
      <w:r>
        <w:t>le</w:t>
      </w:r>
      <w:r w:rsidRPr="00C21455">
        <w:t xml:space="preserve"> estimates</w:t>
      </w:r>
      <w:r>
        <w:t xml:space="preserve"> and to </w:t>
      </w:r>
      <w:r w:rsidRPr="00C21455">
        <w:lastRenderedPageBreak/>
        <w:t>draw inferences about f</w:t>
      </w:r>
      <w:r>
        <w:t>actors that affect performance</w:t>
      </w:r>
      <w:proofErr w:type="gramStart"/>
      <w:r>
        <w:t xml:space="preserve">. </w:t>
      </w:r>
      <w:r w:rsidR="00E52EA4">
        <w:t xml:space="preserve"> </w:t>
      </w:r>
      <w:proofErr w:type="gramEnd"/>
      <w:r>
        <w:t>For this evaluation, ex ante load impacts are based on ex post load impacts from the 2013 and 2014</w:t>
      </w:r>
      <w:r w:rsidR="00431D88">
        <w:t xml:space="preserve"> program years</w:t>
      </w:r>
      <w:r w:rsidR="00583885">
        <w:t>, given that there was a sufficient number of events in those two years to assess how CPP percent impacts vary with respect to weather conditions</w:t>
      </w:r>
      <w:r w:rsidR="00431D88">
        <w:t>.</w:t>
      </w:r>
    </w:p>
    <w:p w:rsidR="006A7080" w:rsidRDefault="006A7080" w:rsidP="006A7080">
      <w:pPr>
        <w:pStyle w:val="BodyParagraph"/>
      </w:pPr>
      <w:r>
        <w:t>The remainder of this section is divided into two parts</w:t>
      </w:r>
      <w:proofErr w:type="gramStart"/>
      <w:r>
        <w:t xml:space="preserve">.  </w:t>
      </w:r>
      <w:proofErr w:type="gramEnd"/>
      <w:r>
        <w:t>The first describes the modeling process for ex ante estimation</w:t>
      </w:r>
      <w:proofErr w:type="gramStart"/>
      <w:r>
        <w:t xml:space="preserve">.  </w:t>
      </w:r>
      <w:proofErr w:type="gramEnd"/>
      <w:r>
        <w:t>The second summarizes the approach used to develop ex ante weather estimates under both utility-specific and CAISO peak operating conditions.</w:t>
      </w:r>
    </w:p>
    <w:p w:rsidR="006A7080" w:rsidRDefault="006A7080" w:rsidP="00E01137">
      <w:pPr>
        <w:pStyle w:val="Heading3"/>
      </w:pPr>
      <w:bookmarkStart w:id="89" w:name="_Toc415494760"/>
      <w:r>
        <w:t>Ex Ante Methodology</w:t>
      </w:r>
      <w:bookmarkEnd w:id="89"/>
    </w:p>
    <w:p w:rsidR="006A7080" w:rsidRDefault="006A7080" w:rsidP="006A7080">
      <w:pPr>
        <w:pStyle w:val="BodyParagraph"/>
      </w:pPr>
      <w:r>
        <w:t>The process to estima</w:t>
      </w:r>
      <w:r w:rsidR="00583885">
        <w:t>te ex ante load impacts differe</w:t>
      </w:r>
      <w:r>
        <w:t>d for large C&amp;I customers (peak demands</w:t>
      </w:r>
      <w:r w:rsidR="00511EAC">
        <w:t> </w:t>
      </w:r>
      <w:r>
        <w:t xml:space="preserve">above 200 kW) and </w:t>
      </w:r>
      <w:r w:rsidR="00583885">
        <w:t>small/</w:t>
      </w:r>
      <w:r>
        <w:t>medium customers (peak demands between 20 and 200</w:t>
      </w:r>
      <w:r w:rsidR="00E52EA4">
        <w:t> </w:t>
      </w:r>
      <w:r>
        <w:t>kW)</w:t>
      </w:r>
      <w:proofErr w:type="gramStart"/>
      <w:r>
        <w:t xml:space="preserve">.  </w:t>
      </w:r>
      <w:proofErr w:type="gramEnd"/>
      <w:r>
        <w:t xml:space="preserve">For large customers, the </w:t>
      </w:r>
      <w:proofErr w:type="spellStart"/>
      <w:r>
        <w:t>ex ant</w:t>
      </w:r>
      <w:r w:rsidR="00511EAC">
        <w:t>e</w:t>
      </w:r>
      <w:proofErr w:type="spellEnd"/>
      <w:r>
        <w:t xml:space="preserve"> estimation process began by re-estimating ex post</w:t>
      </w:r>
      <w:r w:rsidR="00E52EA4">
        <w:t> </w:t>
      </w:r>
      <w:r>
        <w:t>load impacts from 2013 and 2014 for customers enrolled in both years with data for all events (persistent customers)</w:t>
      </w:r>
      <w:r w:rsidR="00583885">
        <w:t>,</w:t>
      </w:r>
      <w:r>
        <w:t xml:space="preserve"> using the same estimation model</w:t>
      </w:r>
      <w:proofErr w:type="gramStart"/>
      <w:r>
        <w:t xml:space="preserve">.  </w:t>
      </w:r>
      <w:proofErr w:type="gramEnd"/>
      <w:r>
        <w:t>Estimates may be sensitive to</w:t>
      </w:r>
      <w:r w:rsidR="00E52EA4">
        <w:t> </w:t>
      </w:r>
      <w:r>
        <w:t>modeling variation and customer churn, so this re-estimation is necessary to derive impacts that can be used to reliably model a relationship with temperature</w:t>
      </w:r>
      <w:proofErr w:type="gramStart"/>
      <w:r>
        <w:t xml:space="preserve">.  </w:t>
      </w:r>
      <w:proofErr w:type="gramEnd"/>
      <w:r>
        <w:t>Furthermore, estimates for persistent customers are more likely to reflect reductions delivered by customers that remain on CPP in years to come.</w:t>
      </w:r>
    </w:p>
    <w:p w:rsidR="006A7080" w:rsidRPr="00306613" w:rsidRDefault="006A7080" w:rsidP="006A7080">
      <w:pPr>
        <w:pStyle w:val="BodyParagraph"/>
        <w:rPr>
          <w:color w:val="FF0000"/>
        </w:rPr>
      </w:pPr>
      <w:r>
        <w:t>Nexant then modeled reference loads for 1-in-2 and 1-in-10 weather conditions</w:t>
      </w:r>
      <w:proofErr w:type="gramStart"/>
      <w:r>
        <w:t xml:space="preserve">.  </w:t>
      </w:r>
      <w:proofErr w:type="gramEnd"/>
      <w:r>
        <w:t>Reference load</w:t>
      </w:r>
      <w:r w:rsidR="00583885">
        <w:t>s are</w:t>
      </w:r>
      <w:r>
        <w:t xml:space="preserve"> estimated separately for the large and </w:t>
      </w:r>
      <w:r w:rsidR="00583885">
        <w:t>small/</w:t>
      </w:r>
      <w:r>
        <w:t>medium C&amp;I customer classes</w:t>
      </w:r>
      <w:proofErr w:type="gramStart"/>
      <w:r>
        <w:t xml:space="preserve">.  </w:t>
      </w:r>
      <w:proofErr w:type="gramEnd"/>
      <w:r>
        <w:t>For the large C&amp;I</w:t>
      </w:r>
      <w:r w:rsidR="00511EAC">
        <w:t> </w:t>
      </w:r>
      <w:r>
        <w:t xml:space="preserve">customer class, hourly default CPP customer load, by LCA, is modeled as a </w:t>
      </w:r>
      <w:r w:rsidRPr="00905373">
        <w:t>funct</w:t>
      </w:r>
      <w:r>
        <w:t>ion of temperature and</w:t>
      </w:r>
      <w:r w:rsidRPr="00905373">
        <w:t xml:space="preserve"> month</w:t>
      </w:r>
      <w:proofErr w:type="gramStart"/>
      <w:r w:rsidRPr="00905373">
        <w:t xml:space="preserve">.  </w:t>
      </w:r>
      <w:proofErr w:type="gramEnd"/>
      <w:r w:rsidRPr="00905373">
        <w:t xml:space="preserve">For the </w:t>
      </w:r>
      <w:r w:rsidR="00583885">
        <w:t>small/</w:t>
      </w:r>
      <w:r w:rsidRPr="00905373">
        <w:t>medium</w:t>
      </w:r>
      <w:r>
        <w:t xml:space="preserve"> C&amp;I customer class, hourly load for a representative sample of </w:t>
      </w:r>
      <w:r w:rsidR="00583885">
        <w:t>small/</w:t>
      </w:r>
      <w:r>
        <w:t>medium C&amp;I customers is modeled by LCA as a function of temperature and month.</w:t>
      </w:r>
      <w:r>
        <w:rPr>
          <w:rStyle w:val="FootnoteReference"/>
        </w:rPr>
        <w:footnoteReference w:id="14"/>
      </w:r>
      <w:proofErr w:type="gramStart"/>
      <w:r>
        <w:t xml:space="preserve">  </w:t>
      </w:r>
      <w:proofErr w:type="gramEnd"/>
      <w:r w:rsidR="00511EAC">
        <w:t>Temperature</w:t>
      </w:r>
      <w:r>
        <w:t xml:space="preserve"> is represented by daily aver</w:t>
      </w:r>
      <w:r w:rsidR="00583885">
        <w:t>age of the first 17 hours (</w:t>
      </w:r>
      <w:r w:rsidR="00583885" w:rsidRPr="00583885">
        <w:rPr>
          <w:i/>
        </w:rPr>
        <w:t>mean</w:t>
      </w:r>
      <w:r w:rsidRPr="00583885">
        <w:rPr>
          <w:i/>
        </w:rPr>
        <w:t>17</w:t>
      </w:r>
      <w:r>
        <w:t xml:space="preserve">), which is used to capture heat </w:t>
      </w:r>
      <w:r w:rsidR="00583885">
        <w:t>buildup</w:t>
      </w:r>
      <w:r>
        <w:t xml:space="preserve"> in the daylight hours</w:t>
      </w:r>
      <w:proofErr w:type="gramStart"/>
      <w:r>
        <w:t xml:space="preserve">.  </w:t>
      </w:r>
      <w:proofErr w:type="gramEnd"/>
      <w:r>
        <w:t xml:space="preserve">Appendix F </w:t>
      </w:r>
      <w:r w:rsidR="00583885">
        <w:t>provides</w:t>
      </w:r>
      <w:r>
        <w:t xml:space="preserve"> details of the regression model used</w:t>
      </w:r>
      <w:proofErr w:type="gramStart"/>
      <w:r>
        <w:t xml:space="preserve">.  </w:t>
      </w:r>
      <w:proofErr w:type="gramEnd"/>
      <w:r>
        <w:t>Once these models are estimated, we can predict reference load for each month of the year under both 1-in-2 and 1-in-10 weather conditions</w:t>
      </w:r>
      <w:proofErr w:type="gramStart"/>
      <w:r>
        <w:t xml:space="preserve">.  </w:t>
      </w:r>
      <w:proofErr w:type="gramEnd"/>
      <w:r>
        <w:t>For</w:t>
      </w:r>
      <w:r w:rsidR="00E52EA4">
        <w:t> </w:t>
      </w:r>
      <w:r>
        <w:t>small and medium customers at PG&amp;E, an analysis of</w:t>
      </w:r>
      <w:r w:rsidR="00583885">
        <w:t xml:space="preserve"> f</w:t>
      </w:r>
      <w:r>
        <w:t>uture enrollees f</w:t>
      </w:r>
      <w:r w:rsidR="00583885">
        <w:t>rom the remaining population found that they are</w:t>
      </w:r>
      <w:r>
        <w:t xml:space="preserve"> expected to be larger than </w:t>
      </w:r>
      <w:r w:rsidR="00583885">
        <w:t>SMB customers that are currently enrolled</w:t>
      </w:r>
      <w:proofErr w:type="gramStart"/>
      <w:r>
        <w:t xml:space="preserve">.  </w:t>
      </w:r>
      <w:proofErr w:type="gramEnd"/>
      <w:r w:rsidR="00583885">
        <w:t>Therefore, a</w:t>
      </w:r>
      <w:r>
        <w:t>n adjustment factor is applied to the reference load of new small and medium enrol</w:t>
      </w:r>
      <w:r w:rsidR="00583885">
        <w:t>lees to be defaulted in the future</w:t>
      </w:r>
      <w:proofErr w:type="gramStart"/>
      <w:r w:rsidR="00583885">
        <w:t xml:space="preserve">. </w:t>
      </w:r>
      <w:r w:rsidR="00E52EA4">
        <w:t xml:space="preserve"> </w:t>
      </w:r>
      <w:proofErr w:type="gramEnd"/>
      <w:r w:rsidR="00583885">
        <w:t>Finally, small customer reference loads were not modeled for SDG&amp;E because, as noted below, the future impacts are assumed to be zero un</w:t>
      </w:r>
      <w:r w:rsidR="00A700D8">
        <w:t>til</w:t>
      </w:r>
      <w:r w:rsidR="00583885">
        <w:t xml:space="preserve"> further evidence of small customer CPP impacts is provided.</w:t>
      </w:r>
    </w:p>
    <w:p w:rsidR="006A7080" w:rsidRDefault="006A7080" w:rsidP="006A7080">
      <w:pPr>
        <w:pStyle w:val="BodyParagraph"/>
      </w:pPr>
      <w:r>
        <w:t>The next step in ex ante estimation is modeling the relationship of ex post load impacts to temperature conditions</w:t>
      </w:r>
      <w:proofErr w:type="gramStart"/>
      <w:r>
        <w:t xml:space="preserve">.  </w:t>
      </w:r>
      <w:proofErr w:type="gramEnd"/>
      <w:r>
        <w:t>This step is only performed for large customers</w:t>
      </w:r>
      <w:proofErr w:type="gramStart"/>
      <w:r>
        <w:t xml:space="preserve">.  </w:t>
      </w:r>
      <w:proofErr w:type="gramEnd"/>
      <w:r>
        <w:t>Load impacts from 2013 and 2014 for large persistent customers are modeled as a function of temperature for each LCA</w:t>
      </w:r>
      <w:proofErr w:type="gramStart"/>
      <w:r>
        <w:t xml:space="preserve">.  </w:t>
      </w:r>
      <w:proofErr w:type="gramEnd"/>
      <w:r>
        <w:t>Just as in the reference load modeling, tem</w:t>
      </w:r>
      <w:r w:rsidR="00A700D8">
        <w:t xml:space="preserve">perature is represented by </w:t>
      </w:r>
      <w:r w:rsidR="00A700D8" w:rsidRPr="00A700D8">
        <w:rPr>
          <w:i/>
        </w:rPr>
        <w:t>mean</w:t>
      </w:r>
      <w:r w:rsidRPr="00A700D8">
        <w:rPr>
          <w:i/>
        </w:rPr>
        <w:t>17</w:t>
      </w:r>
      <w:r>
        <w:t>, which is used to capture heat buildup in the daylight hours</w:t>
      </w:r>
      <w:proofErr w:type="gramStart"/>
      <w:r>
        <w:t xml:space="preserve">.  </w:t>
      </w:r>
      <w:proofErr w:type="gramEnd"/>
      <w:r>
        <w:t>Appendix G gives details of the regression model used</w:t>
      </w:r>
      <w:proofErr w:type="gramStart"/>
      <w:r>
        <w:t xml:space="preserve">.  </w:t>
      </w:r>
      <w:proofErr w:type="gramEnd"/>
      <w:r>
        <w:t xml:space="preserve">Given that the large C&amp;I default CPP population has been subject to </w:t>
      </w:r>
      <w:r>
        <w:lastRenderedPageBreak/>
        <w:t>CPP for so many years, projecting ex post load impacts into the future is fairly simple since the load impacts by LCA are representative of the large C&amp;I default CPP population in each LCA.</w:t>
      </w:r>
    </w:p>
    <w:p w:rsidR="00A8674E" w:rsidRDefault="006A7080" w:rsidP="00A8674E">
      <w:pPr>
        <w:pStyle w:val="BodyParagraph"/>
        <w:tabs>
          <w:tab w:val="left" w:pos="4590"/>
        </w:tabs>
      </w:pPr>
      <w:r>
        <w:t>For small and medium customers, we lack robust empirical data about how they respond to default CPP</w:t>
      </w:r>
      <w:proofErr w:type="gramStart"/>
      <w:r>
        <w:t xml:space="preserve">.  </w:t>
      </w:r>
      <w:proofErr w:type="gramEnd"/>
      <w:r w:rsidR="00A700D8">
        <w:t>Around 1</w:t>
      </w:r>
      <w:r w:rsidR="008715D6">
        <w:t>7</w:t>
      </w:r>
      <w:r w:rsidR="00A700D8">
        <w:t>0,000 SMB customers</w:t>
      </w:r>
      <w:r>
        <w:t xml:space="preserve"> were defaulted</w:t>
      </w:r>
      <w:r w:rsidR="00A700D8">
        <w:t xml:space="preserve"> onto CPP</w:t>
      </w:r>
      <w:r>
        <w:t xml:space="preserve"> in November 2014 at PG&amp;E, </w:t>
      </w:r>
      <w:r w:rsidR="00A700D8">
        <w:t>but those customers have yet to experience any CPP events</w:t>
      </w:r>
      <w:proofErr w:type="gramStart"/>
      <w:r w:rsidR="00A700D8">
        <w:t xml:space="preserve">.  </w:t>
      </w:r>
      <w:proofErr w:type="gramEnd"/>
      <w:r w:rsidR="00A700D8">
        <w:t>SCE and SDG&amp;E small and medium customers have yet to be defaulted onto CPP</w:t>
      </w:r>
      <w:proofErr w:type="gramStart"/>
      <w:r w:rsidR="00A700D8">
        <w:t xml:space="preserve">.  </w:t>
      </w:r>
      <w:proofErr w:type="gramEnd"/>
      <w:r w:rsidR="00A700D8">
        <w:t xml:space="preserve">Therefore, default CPP </w:t>
      </w:r>
      <w:r>
        <w:t xml:space="preserve">ex post impact estimates are </w:t>
      </w:r>
      <w:r w:rsidR="00A700D8">
        <w:t xml:space="preserve">not </w:t>
      </w:r>
      <w:r>
        <w:t>available</w:t>
      </w:r>
      <w:proofErr w:type="gramStart"/>
      <w:r>
        <w:t xml:space="preserve">.  </w:t>
      </w:r>
      <w:proofErr w:type="gramEnd"/>
      <w:r>
        <w:t xml:space="preserve">The percent load reductions from the </w:t>
      </w:r>
      <w:r w:rsidR="00A700D8">
        <w:t>EEP</w:t>
      </w:r>
      <w:r>
        <w:t xml:space="preserve"> customers at PG&amp;E provide information on how small and medium customers respond to CPP on an opt-in basis</w:t>
      </w:r>
      <w:proofErr w:type="gramStart"/>
      <w:r>
        <w:t xml:space="preserve">.  </w:t>
      </w:r>
      <w:proofErr w:type="gramEnd"/>
      <w:r>
        <w:t xml:space="preserve">Previous studies </w:t>
      </w:r>
      <w:r w:rsidR="00E65224">
        <w:t xml:space="preserve">of residential customers </w:t>
      </w:r>
      <w:r>
        <w:t xml:space="preserve">have shown that customers who enroll on an opt-in basis tend to be more engaged and deliver </w:t>
      </w:r>
      <w:r w:rsidR="00727F75">
        <w:t>significantly</w:t>
      </w:r>
      <w:r w:rsidR="00D6331F">
        <w:t xml:space="preserve"> </w:t>
      </w:r>
      <w:r>
        <w:t xml:space="preserve">larger percent reductions than those </w:t>
      </w:r>
      <w:r w:rsidR="00D6331F">
        <w:t>who enroll on a default basis.</w:t>
      </w:r>
      <w:r w:rsidR="00D6331F">
        <w:rPr>
          <w:rStyle w:val="FootnoteReference"/>
        </w:rPr>
        <w:footnoteReference w:id="15"/>
      </w:r>
      <w:proofErr w:type="gramStart"/>
      <w:r>
        <w:t xml:space="preserve">  </w:t>
      </w:r>
      <w:proofErr w:type="gramEnd"/>
      <w:r>
        <w:t>Nexant therefore used the EPP CPP percent reductions as an upper bound for the expected response of defaulted small and medium customers, and adjusted the overall percent reduction downward</w:t>
      </w:r>
      <w:proofErr w:type="gramStart"/>
      <w:r>
        <w:t xml:space="preserve">.  </w:t>
      </w:r>
      <w:proofErr w:type="gramEnd"/>
      <w:r w:rsidR="00D6331F">
        <w:t>For SCE and PG&amp;E, t</w:t>
      </w:r>
      <w:r>
        <w:t>his yielded percent reductions of 2</w:t>
      </w:r>
      <w:r w:rsidR="00D6331F">
        <w:t>.0%</w:t>
      </w:r>
      <w:r>
        <w:t xml:space="preserve"> and 1.5</w:t>
      </w:r>
      <w:r w:rsidR="00D6331F">
        <w:t>%,</w:t>
      </w:r>
      <w:r>
        <w:t xml:space="preserve"> for small and medium customers respectively</w:t>
      </w:r>
      <w:bookmarkEnd w:id="85"/>
      <w:bookmarkEnd w:id="86"/>
      <w:r w:rsidR="00D6331F">
        <w:t>, to be applied to SMB customers to be defaulted onto CPP in the future</w:t>
      </w:r>
      <w:proofErr w:type="gramStart"/>
      <w:r w:rsidR="00D6331F">
        <w:t>.</w:t>
      </w:r>
      <w:r w:rsidR="004052D7">
        <w:t xml:space="preserve">  </w:t>
      </w:r>
      <w:proofErr w:type="gramEnd"/>
      <w:r w:rsidR="004052D7">
        <w:t xml:space="preserve">For SDG&amp;E, the initial </w:t>
      </w:r>
      <w:r w:rsidR="00A8674E">
        <w:t>percent reduction</w:t>
      </w:r>
      <w:r w:rsidR="008A5C50">
        <w:t xml:space="preserve"> for medium customers</w:t>
      </w:r>
      <w:r w:rsidR="004052D7">
        <w:t xml:space="preserve"> was</w:t>
      </w:r>
      <w:r w:rsidR="00A8674E">
        <w:t xml:space="preserve"> 2.5%</w:t>
      </w:r>
      <w:r w:rsidR="004052D7">
        <w:t xml:space="preserve">, to which </w:t>
      </w:r>
      <w:r w:rsidR="00A8674E">
        <w:t xml:space="preserve">an awareness factor </w:t>
      </w:r>
      <w:r w:rsidR="004052D7">
        <w:t>was then applied</w:t>
      </w:r>
      <w:proofErr w:type="gramStart"/>
      <w:r w:rsidR="004052D7">
        <w:t xml:space="preserve">.  </w:t>
      </w:r>
      <w:proofErr w:type="gramEnd"/>
      <w:r w:rsidR="004052D7">
        <w:t xml:space="preserve">The awareness factor </w:t>
      </w:r>
      <w:r w:rsidR="00A8674E">
        <w:t>increased from 0.7 in 2016 to 0.9 in 2018 onwards</w:t>
      </w:r>
      <w:r w:rsidR="004052D7">
        <w:t>, which led to percent impacts of 1.75% in 2016 and 2.25% in 2018 onwards</w:t>
      </w:r>
      <w:proofErr w:type="gramStart"/>
      <w:r w:rsidR="004052D7">
        <w:t>.</w:t>
      </w:r>
      <w:r w:rsidR="008A5C50">
        <w:t xml:space="preserve">  </w:t>
      </w:r>
      <w:proofErr w:type="gramEnd"/>
      <w:r w:rsidR="008A5C50">
        <w:t>Small CPP customers were covered in a separate report, so their ex ante impacts are not reported here.</w:t>
      </w:r>
    </w:p>
    <w:p w:rsidR="006A7080" w:rsidRDefault="006A7080" w:rsidP="006A7080">
      <w:pPr>
        <w:pStyle w:val="BodyParagraph"/>
      </w:pPr>
      <w:r>
        <w:t xml:space="preserve">The predicted percent reductions </w:t>
      </w:r>
      <w:r w:rsidR="00E52EA4">
        <w:t>we</w:t>
      </w:r>
      <w:r>
        <w:t>re then combined with the predicted reference loads for different weather conditions</w:t>
      </w:r>
      <w:proofErr w:type="gramStart"/>
      <w:r>
        <w:t xml:space="preserve">.  </w:t>
      </w:r>
      <w:proofErr w:type="gramEnd"/>
      <w:r w:rsidR="00625D72">
        <w:t xml:space="preserve">Even though </w:t>
      </w:r>
      <w:r>
        <w:t xml:space="preserve">percent reductions are assumed to be fixed for </w:t>
      </w:r>
      <w:r w:rsidR="007D7149">
        <w:t xml:space="preserve">PG&amp;E and SCE </w:t>
      </w:r>
      <w:r w:rsidR="00625D72">
        <w:t xml:space="preserve">small and medium customers, there is </w:t>
      </w:r>
      <w:r>
        <w:t xml:space="preserve">variation in ex ante </w:t>
      </w:r>
      <w:r w:rsidR="00625D72">
        <w:t xml:space="preserve">kW </w:t>
      </w:r>
      <w:r>
        <w:t>impacts for those</w:t>
      </w:r>
      <w:r w:rsidR="00E52EA4">
        <w:t> </w:t>
      </w:r>
      <w:r>
        <w:t>customers</w:t>
      </w:r>
      <w:r w:rsidR="00625D72">
        <w:t xml:space="preserve"> because of variations in reference loads that are modeled in relationship to weather conditions</w:t>
      </w:r>
      <w:r>
        <w:t>.</w:t>
      </w:r>
    </w:p>
    <w:p w:rsidR="006A7080" w:rsidRPr="002425CD" w:rsidRDefault="006A7080" w:rsidP="00E01137">
      <w:pPr>
        <w:pStyle w:val="Heading3"/>
      </w:pPr>
      <w:bookmarkStart w:id="90" w:name="_Toc411938072"/>
      <w:bookmarkStart w:id="91" w:name="_Toc415494761"/>
      <w:r w:rsidRPr="002425CD">
        <w:t>Estimating Ex Ante Weather Conditions</w:t>
      </w:r>
      <w:bookmarkEnd w:id="90"/>
      <w:bookmarkEnd w:id="91"/>
    </w:p>
    <w:p w:rsidR="006A7080" w:rsidRPr="002425CD" w:rsidRDefault="006A7080" w:rsidP="00E01137">
      <w:pPr>
        <w:pStyle w:val="BodyParagraph"/>
        <w:rPr>
          <w:rFonts w:eastAsiaTheme="minorHAnsi"/>
        </w:rPr>
      </w:pPr>
      <w:r>
        <w:rPr>
          <w:rFonts w:eastAsiaTheme="minorHAnsi"/>
        </w:rPr>
        <w:t>T</w:t>
      </w:r>
      <w:r w:rsidRPr="002425CD">
        <w:rPr>
          <w:rFonts w:eastAsiaTheme="minorHAnsi"/>
        </w:rPr>
        <w:t>he CPUC Load Impact Protocols</w:t>
      </w:r>
      <w:r w:rsidRPr="002425CD">
        <w:rPr>
          <w:rFonts w:eastAsiaTheme="minorHAnsi"/>
          <w:vertAlign w:val="superscript"/>
        </w:rPr>
        <w:footnoteReference w:id="16"/>
      </w:r>
      <w:r w:rsidRPr="002425CD">
        <w:rPr>
          <w:rFonts w:eastAsiaTheme="minorHAnsi"/>
        </w:rPr>
        <w:t xml:space="preserve"> require that ex ante load impacts be estimated assuming weather conditions associated with both normal and extreme utility operating conditions</w:t>
      </w:r>
      <w:proofErr w:type="gramStart"/>
      <w:r w:rsidRPr="002425CD">
        <w:rPr>
          <w:rFonts w:eastAsiaTheme="minorHAnsi"/>
        </w:rPr>
        <w:t xml:space="preserve">. </w:t>
      </w:r>
      <w:r w:rsidR="00511EAC">
        <w:rPr>
          <w:rFonts w:eastAsiaTheme="minorHAnsi"/>
        </w:rPr>
        <w:t xml:space="preserve"> </w:t>
      </w:r>
      <w:proofErr w:type="gramEnd"/>
      <w:r w:rsidRPr="002425CD">
        <w:rPr>
          <w:rFonts w:eastAsiaTheme="minorHAnsi"/>
        </w:rPr>
        <w:t xml:space="preserve">Normal conditions are defined as those that would be expected to occur once every two years (1-in-2 conditions) and extreme conditions are those that would be expected to occur once every </w:t>
      </w:r>
      <w:r>
        <w:rPr>
          <w:rFonts w:eastAsiaTheme="minorHAnsi"/>
        </w:rPr>
        <w:t>10</w:t>
      </w:r>
      <w:r w:rsidRPr="002425CD">
        <w:rPr>
          <w:rFonts w:eastAsiaTheme="minorHAnsi"/>
        </w:rPr>
        <w:t xml:space="preserve"> years (1-in-10 conditions)</w:t>
      </w:r>
      <w:proofErr w:type="gramStart"/>
      <w:r w:rsidRPr="002425CD">
        <w:rPr>
          <w:rFonts w:eastAsiaTheme="minorHAnsi"/>
        </w:rPr>
        <w:t xml:space="preserve">. </w:t>
      </w:r>
      <w:r w:rsidR="00511EAC">
        <w:rPr>
          <w:rFonts w:eastAsiaTheme="minorHAnsi"/>
        </w:rPr>
        <w:t xml:space="preserve"> </w:t>
      </w:r>
      <w:proofErr w:type="gramEnd"/>
      <w:r w:rsidRPr="002425CD">
        <w:rPr>
          <w:rFonts w:eastAsiaTheme="minorHAnsi"/>
        </w:rPr>
        <w:t xml:space="preserve">Since 2008, the IOUs have </w:t>
      </w:r>
      <w:r>
        <w:rPr>
          <w:rFonts w:eastAsiaTheme="minorHAnsi"/>
        </w:rPr>
        <w:t xml:space="preserve">based </w:t>
      </w:r>
      <w:r w:rsidRPr="002425CD">
        <w:rPr>
          <w:rFonts w:eastAsiaTheme="minorHAnsi"/>
        </w:rPr>
        <w:t xml:space="preserve">ex ante </w:t>
      </w:r>
      <w:r>
        <w:rPr>
          <w:rFonts w:eastAsiaTheme="minorHAnsi"/>
        </w:rPr>
        <w:t>weather</w:t>
      </w:r>
      <w:r w:rsidRPr="002425CD">
        <w:rPr>
          <w:rFonts w:eastAsiaTheme="minorHAnsi"/>
        </w:rPr>
        <w:t xml:space="preserve"> on system operating conditions specific to each individual utility</w:t>
      </w:r>
      <w:proofErr w:type="gramStart"/>
      <w:r w:rsidRPr="002425CD">
        <w:rPr>
          <w:rFonts w:eastAsiaTheme="minorHAnsi"/>
        </w:rPr>
        <w:t>.</w:t>
      </w:r>
      <w:r w:rsidR="00E52EA4">
        <w:rPr>
          <w:rFonts w:eastAsiaTheme="minorHAnsi"/>
        </w:rPr>
        <w:t xml:space="preserve"> </w:t>
      </w:r>
      <w:r w:rsidRPr="002425CD">
        <w:rPr>
          <w:rFonts w:eastAsiaTheme="minorHAnsi"/>
        </w:rPr>
        <w:t xml:space="preserve"> </w:t>
      </w:r>
      <w:proofErr w:type="gramEnd"/>
      <w:r w:rsidRPr="002425CD">
        <w:rPr>
          <w:rFonts w:eastAsiaTheme="minorHAnsi"/>
        </w:rPr>
        <w:t>However, ex ante weather conditions could alternatively reflect 1-in-2 and 1-in-10 year operating conditions for the California Independent System Operator (CAISO) rather than the operating conditions for each IOU</w:t>
      </w:r>
      <w:proofErr w:type="gramStart"/>
      <w:r w:rsidRPr="002425CD">
        <w:rPr>
          <w:rFonts w:eastAsiaTheme="minorHAnsi"/>
        </w:rPr>
        <w:t xml:space="preserve">. </w:t>
      </w:r>
      <w:r w:rsidR="00E52EA4">
        <w:rPr>
          <w:rFonts w:eastAsiaTheme="minorHAnsi"/>
        </w:rPr>
        <w:t xml:space="preserve"> </w:t>
      </w:r>
      <w:proofErr w:type="gramEnd"/>
      <w:r w:rsidRPr="002425CD">
        <w:rPr>
          <w:rFonts w:eastAsiaTheme="minorHAnsi"/>
        </w:rPr>
        <w:t>While the protocols are silent on this issue, a letter from the CPUC Energy Division to the IOUs dated October 21, 2014 directed the utilities to provide impact estimates under two sets of operating conditions starting with the April 1, 2015 filings: one reflecting operating conditions for each IOU</w:t>
      </w:r>
      <w:r w:rsidR="00E52EA4">
        <w:rPr>
          <w:rFonts w:eastAsiaTheme="minorHAnsi"/>
        </w:rPr>
        <w:t>;</w:t>
      </w:r>
      <w:r w:rsidRPr="002425CD">
        <w:rPr>
          <w:rFonts w:eastAsiaTheme="minorHAnsi"/>
        </w:rPr>
        <w:t xml:space="preserve"> and one reflecting operating c</w:t>
      </w:r>
      <w:r w:rsidR="003506C5">
        <w:rPr>
          <w:rFonts w:eastAsiaTheme="minorHAnsi"/>
        </w:rPr>
        <w:t>onditions for the CAISO system.</w:t>
      </w:r>
    </w:p>
    <w:p w:rsidR="006A7080" w:rsidRDefault="00E52EA4" w:rsidP="00E01137">
      <w:pPr>
        <w:pStyle w:val="BodyParagraph"/>
        <w:rPr>
          <w:rFonts w:eastAsiaTheme="minorHAnsi"/>
        </w:rPr>
      </w:pPr>
      <w:r>
        <w:rPr>
          <w:rFonts w:eastAsiaTheme="minorHAnsi"/>
        </w:rPr>
        <w:lastRenderedPageBreak/>
        <w:t>T</w:t>
      </w:r>
      <w:r w:rsidR="006A7080" w:rsidRPr="002425CD">
        <w:rPr>
          <w:rFonts w:eastAsiaTheme="minorHAnsi"/>
        </w:rPr>
        <w:t>o meet this new requirement, California’s IOUs contracted with Nexant to develop ex</w:t>
      </w:r>
      <w:r w:rsidR="00511EAC">
        <w:rPr>
          <w:rFonts w:eastAsiaTheme="minorHAnsi"/>
        </w:rPr>
        <w:t> </w:t>
      </w:r>
      <w:r w:rsidR="006A7080" w:rsidRPr="002425CD">
        <w:rPr>
          <w:rFonts w:eastAsiaTheme="minorHAnsi"/>
        </w:rPr>
        <w:t>ante weather conditions based on the peaking conditions for each utility and for the CAISO system</w:t>
      </w:r>
      <w:proofErr w:type="gramStart"/>
      <w:r w:rsidR="006A7080" w:rsidRPr="002425CD">
        <w:rPr>
          <w:rFonts w:eastAsiaTheme="minorHAnsi"/>
        </w:rPr>
        <w:t xml:space="preserve">.  </w:t>
      </w:r>
      <w:proofErr w:type="gramEnd"/>
      <w:r w:rsidR="006A7080" w:rsidRPr="002425CD">
        <w:rPr>
          <w:rFonts w:eastAsiaTheme="minorHAnsi"/>
        </w:rPr>
        <w:t>The previous ex ante weather conditions for each utility were developed in 2009 and were updated this year along with the development of the new CAISO based conditio</w:t>
      </w:r>
      <w:r w:rsidR="006A7080">
        <w:rPr>
          <w:rFonts w:eastAsiaTheme="minorHAnsi"/>
        </w:rPr>
        <w:t>ns</w:t>
      </w:r>
      <w:proofErr w:type="gramStart"/>
      <w:r w:rsidR="006A7080">
        <w:rPr>
          <w:rFonts w:eastAsiaTheme="minorHAnsi"/>
        </w:rPr>
        <w:t xml:space="preserve">.  </w:t>
      </w:r>
      <w:proofErr w:type="gramEnd"/>
      <w:r w:rsidR="006A7080">
        <w:rPr>
          <w:rFonts w:eastAsiaTheme="minorHAnsi"/>
        </w:rPr>
        <w:t>Both sets of estimates use</w:t>
      </w:r>
      <w:r w:rsidR="006A7080" w:rsidRPr="002425CD">
        <w:rPr>
          <w:rFonts w:eastAsiaTheme="minorHAnsi"/>
        </w:rPr>
        <w:t xml:space="preserve"> a common methodology, which is documented in a report delivered to the</w:t>
      </w:r>
      <w:r w:rsidR="004C74AD">
        <w:rPr>
          <w:rFonts w:eastAsiaTheme="minorHAnsi"/>
        </w:rPr>
        <w:t> </w:t>
      </w:r>
      <w:r w:rsidR="006A7080" w:rsidRPr="002425CD">
        <w:rPr>
          <w:rFonts w:eastAsiaTheme="minorHAnsi"/>
        </w:rPr>
        <w:t>IOUs.</w:t>
      </w:r>
      <w:r w:rsidR="006A7080" w:rsidRPr="002425CD">
        <w:rPr>
          <w:rFonts w:eastAsiaTheme="minorHAnsi"/>
          <w:vertAlign w:val="superscript"/>
        </w:rPr>
        <w:footnoteReference w:id="17"/>
      </w:r>
    </w:p>
    <w:p w:rsidR="006A7080" w:rsidRPr="00AA722E" w:rsidRDefault="006A7080" w:rsidP="006A7080">
      <w:pPr>
        <w:pStyle w:val="BodyParagraph"/>
      </w:pPr>
      <w:r w:rsidRPr="00AA722E">
        <w:t>The extent to which utility-specific ex ante weather conditions differ from CAISO ex ante weather conditions largely depends on the correlation between individual utilit</w:t>
      </w:r>
      <w:r w:rsidRPr="004B5B99">
        <w:t>y and CAISO peak loads</w:t>
      </w:r>
      <w:proofErr w:type="gramStart"/>
      <w:r w:rsidRPr="004B5B99">
        <w:t xml:space="preserve">. </w:t>
      </w:r>
      <w:r w:rsidR="004C74AD">
        <w:t xml:space="preserve"> </w:t>
      </w:r>
      <w:proofErr w:type="gramEnd"/>
      <w:r w:rsidRPr="004B5B99">
        <w:t xml:space="preserve">Figure </w:t>
      </w:r>
      <w:r>
        <w:t>3</w:t>
      </w:r>
      <w:r w:rsidRPr="004B5B99">
        <w:t>-</w:t>
      </w:r>
      <w:r w:rsidR="008F7C35">
        <w:t>6</w:t>
      </w:r>
      <w:r w:rsidRPr="00AA722E">
        <w:t xml:space="preserve"> shows the correlations between each of the three California investor-owned utilities’ daily peaks and CAISO system-wide daily peaks</w:t>
      </w:r>
      <w:proofErr w:type="gramStart"/>
      <w:r w:rsidRPr="00AA722E">
        <w:t xml:space="preserve">. </w:t>
      </w:r>
      <w:r w:rsidR="004C74AD">
        <w:t xml:space="preserve"> </w:t>
      </w:r>
      <w:proofErr w:type="gramEnd"/>
      <w:r w:rsidRPr="00AA722E">
        <w:t>Because the focus is on peaking conditions, the graph includes the 25 days with the highest CAISO loads in</w:t>
      </w:r>
      <w:r w:rsidR="003506C5">
        <w:t xml:space="preserve"> each year from 2006 through </w:t>
      </w:r>
      <w:r w:rsidRPr="00AA722E">
        <w:t xml:space="preserve">2013 (25 days per year for 8 years, leading 200 observations per utility).  </w:t>
      </w:r>
    </w:p>
    <w:p w:rsidR="006A7080" w:rsidRPr="00AA722E" w:rsidRDefault="006A7080" w:rsidP="006A7080">
      <w:pPr>
        <w:pStyle w:val="BodyParagraph"/>
      </w:pPr>
      <w:r w:rsidRPr="00AA722E">
        <w:t>SCE peak loads are more closely related to CAISO peak loads than are PG&amp;E or SDG&amp;E peak</w:t>
      </w:r>
      <w:r w:rsidR="00D4077C">
        <w:t> </w:t>
      </w:r>
      <w:r w:rsidRPr="00AA722E">
        <w:t>loads</w:t>
      </w:r>
      <w:proofErr w:type="gramStart"/>
      <w:r w:rsidRPr="00AA722E">
        <w:t xml:space="preserve">. </w:t>
      </w:r>
      <w:r w:rsidR="004C74AD">
        <w:t xml:space="preserve"> </w:t>
      </w:r>
      <w:proofErr w:type="gramEnd"/>
      <w:r w:rsidRPr="00AA722E">
        <w:t>Part of the explanation is simply that SCE constitutes a larger share of CAISO load</w:t>
      </w:r>
      <w:r w:rsidR="00D4077C">
        <w:t> </w:t>
      </w:r>
      <w:r w:rsidRPr="00AA722E">
        <w:t>than do the other two utilities and therefore has more influence on the overall CAISO loads. However, there are additional reasons for the differences</w:t>
      </w:r>
      <w:proofErr w:type="gramStart"/>
      <w:r w:rsidRPr="00AA722E">
        <w:t xml:space="preserve">. </w:t>
      </w:r>
      <w:r w:rsidR="00D4077C">
        <w:t xml:space="preserve"> </w:t>
      </w:r>
      <w:proofErr w:type="gramEnd"/>
      <w:r w:rsidRPr="00AA722E">
        <w:t>PG&amp;E’s northern California service territory experiences different weather systems and is more likely to peak earlier in the year than the overall CAISO system</w:t>
      </w:r>
      <w:proofErr w:type="gramStart"/>
      <w:r w:rsidRPr="00AA722E">
        <w:t xml:space="preserve">. </w:t>
      </w:r>
      <w:r w:rsidR="004C74AD">
        <w:t xml:space="preserve"> </w:t>
      </w:r>
      <w:proofErr w:type="gramEnd"/>
      <w:r w:rsidRPr="00AA722E">
        <w:t>SDG&amp;E weekday loads and weather patterns are also unique</w:t>
      </w:r>
      <w:proofErr w:type="gramStart"/>
      <w:r w:rsidRPr="00AA722E">
        <w:t xml:space="preserve">. </w:t>
      </w:r>
      <w:r w:rsidR="004C74AD">
        <w:t xml:space="preserve"> </w:t>
      </w:r>
      <w:proofErr w:type="gramEnd"/>
      <w:r w:rsidRPr="00AA722E">
        <w:t>A larger share of SDG&amp;E’s load is residential and less of it is industrial</w:t>
      </w:r>
      <w:proofErr w:type="gramStart"/>
      <w:r w:rsidRPr="00AA722E">
        <w:t xml:space="preserve">. </w:t>
      </w:r>
      <w:r w:rsidR="004C74AD">
        <w:t xml:space="preserve"> </w:t>
      </w:r>
      <w:proofErr w:type="gramEnd"/>
      <w:r w:rsidRPr="00AA722E">
        <w:t xml:space="preserve">Temperatures peak earlier in the day </w:t>
      </w:r>
      <w:r>
        <w:t>than load does at SDG&amp;E</w:t>
      </w:r>
      <w:r w:rsidR="003506C5">
        <w:t>,</w:t>
      </w:r>
      <w:r>
        <w:t xml:space="preserve"> </w:t>
      </w:r>
      <w:r w:rsidRPr="00AA722E">
        <w:t>and the diurnal swing between overnight and peak</w:t>
      </w:r>
      <w:r w:rsidR="004C74AD">
        <w:t> </w:t>
      </w:r>
      <w:r w:rsidRPr="00AA722E">
        <w:t>temperatures is smaller.</w:t>
      </w:r>
    </w:p>
    <w:p w:rsidR="006A7080" w:rsidRDefault="006A7080" w:rsidP="003506C5">
      <w:pPr>
        <w:pStyle w:val="BodyParagraph"/>
        <w:rPr>
          <w:b/>
        </w:rPr>
      </w:pPr>
      <w:r w:rsidRPr="00AA722E">
        <w:t>While IOU and CAISO loads do not peak at the same time all the time, the relationship between CAISO loads and uti</w:t>
      </w:r>
      <w:r w:rsidRPr="004B5B99">
        <w:t xml:space="preserve">lity peaking conditions </w:t>
      </w:r>
      <w:r w:rsidR="00D4077C">
        <w:t>is</w:t>
      </w:r>
      <w:r w:rsidRPr="00AA722E">
        <w:t xml:space="preserve"> weakest when CAISO loads </w:t>
      </w:r>
      <w:r w:rsidR="00D4077C">
        <w:t>are</w:t>
      </w:r>
      <w:r w:rsidRPr="00AA722E">
        <w:t xml:space="preserve"> below 45,000 MW</w:t>
      </w:r>
      <w:proofErr w:type="gramStart"/>
      <w:r w:rsidRPr="00AA722E">
        <w:t xml:space="preserve">.  </w:t>
      </w:r>
      <w:proofErr w:type="gramEnd"/>
      <w:r w:rsidRPr="00AA722E">
        <w:t xml:space="preserve">For example, CAISO loads often reach 43,000 MW when </w:t>
      </w:r>
      <w:r w:rsidR="008715D6">
        <w:t>SCE and SDG&amp;E</w:t>
      </w:r>
      <w:r w:rsidRPr="00AA722E">
        <w:t xml:space="preserve"> loads are extreme</w:t>
      </w:r>
      <w:r w:rsidR="003506C5">
        <w:t>,</w:t>
      </w:r>
      <w:r w:rsidRPr="00AA722E">
        <w:t xml:space="preserve"> but </w:t>
      </w:r>
      <w:r w:rsidR="008715D6">
        <w:t>PG&amp;E</w:t>
      </w:r>
      <w:r w:rsidRPr="00AA722E">
        <w:t xml:space="preserve"> loads are moderate (or vice-versa)</w:t>
      </w:r>
      <w:proofErr w:type="gramStart"/>
      <w:r w:rsidRPr="00AA722E">
        <w:t xml:space="preserve">. </w:t>
      </w:r>
      <w:r w:rsidR="00D4077C">
        <w:t xml:space="preserve"> </w:t>
      </w:r>
      <w:proofErr w:type="gramEnd"/>
      <w:r w:rsidRPr="00AA722E">
        <w:t xml:space="preserve">However, whenever CAISO loads exceed 45,000 MW, loads </w:t>
      </w:r>
      <w:r w:rsidR="00D4077C">
        <w:t xml:space="preserve">are </w:t>
      </w:r>
      <w:r w:rsidRPr="00AA722E">
        <w:t>typically high</w:t>
      </w:r>
      <w:r w:rsidR="004C74AD">
        <w:t> </w:t>
      </w:r>
      <w:r w:rsidRPr="00AA722E">
        <w:t>across all three IOU’s.</w:t>
      </w:r>
    </w:p>
    <w:p w:rsidR="006A7080" w:rsidRPr="00AA722E" w:rsidRDefault="006A7080" w:rsidP="00E01137">
      <w:pPr>
        <w:pStyle w:val="TableFigureCaption"/>
      </w:pPr>
      <w:r w:rsidRPr="004B5B99">
        <w:lastRenderedPageBreak/>
        <w:t xml:space="preserve">Figure </w:t>
      </w:r>
      <w:r>
        <w:t>3-</w:t>
      </w:r>
      <w:r w:rsidR="008F7C35">
        <w:t>6</w:t>
      </w:r>
      <w:r w:rsidR="00E01137">
        <w:t xml:space="preserve">: </w:t>
      </w:r>
      <w:r w:rsidRPr="004B5B99">
        <w:t>Relationship between CAISO and Utility Peak Loads</w:t>
      </w:r>
      <w:r w:rsidR="00744453">
        <w:br/>
      </w:r>
      <w:r w:rsidRPr="004B5B99">
        <w:t>CAISO Top 25 Peak Days per Year (2006</w:t>
      </w:r>
      <w:r w:rsidR="004C74AD">
        <w:rPr>
          <w:rFonts w:cs="Arial"/>
        </w:rPr>
        <w:t>–</w:t>
      </w:r>
      <w:r w:rsidRPr="004B5B99">
        <w:t>2013)</w:t>
      </w:r>
    </w:p>
    <w:p w:rsidR="006A7080" w:rsidRDefault="006A7080" w:rsidP="003506C5">
      <w:pPr>
        <w:spacing w:after="240" w:line="264" w:lineRule="auto"/>
        <w:jc w:val="center"/>
        <w:rPr>
          <w:rFonts w:eastAsiaTheme="minorHAnsi"/>
        </w:rPr>
      </w:pPr>
      <w:r>
        <w:rPr>
          <w:noProof/>
        </w:rPr>
        <w:drawing>
          <wp:inline distT="0" distB="0" distL="0" distR="0" wp14:anchorId="69D61A11" wp14:editId="55B2F982">
            <wp:extent cx="5552184" cy="710335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556304" cy="7108629"/>
                    </a:xfrm>
                    <a:prstGeom prst="rect">
                      <a:avLst/>
                    </a:prstGeom>
                    <a:noFill/>
                    <a:ln>
                      <a:noFill/>
                    </a:ln>
                  </pic:spPr>
                </pic:pic>
              </a:graphicData>
            </a:graphic>
          </wp:inline>
        </w:drawing>
      </w:r>
    </w:p>
    <w:p w:rsidR="006A7080" w:rsidRDefault="006A7080" w:rsidP="00E01137">
      <w:pPr>
        <w:pStyle w:val="BodyParaAfterTableFigure"/>
        <w:rPr>
          <w:rFonts w:eastAsiaTheme="minorHAnsi"/>
        </w:rPr>
      </w:pPr>
      <w:r w:rsidRPr="002425CD">
        <w:rPr>
          <w:rFonts w:eastAsiaTheme="minorHAnsi"/>
        </w:rPr>
        <w:t xml:space="preserve">Table </w:t>
      </w:r>
      <w:r>
        <w:rPr>
          <w:rFonts w:eastAsiaTheme="minorHAnsi"/>
        </w:rPr>
        <w:t>3</w:t>
      </w:r>
      <w:r w:rsidRPr="002425CD">
        <w:rPr>
          <w:rFonts w:eastAsiaTheme="minorHAnsi"/>
        </w:rPr>
        <w:t xml:space="preserve">-2 shows the </w:t>
      </w:r>
      <w:r>
        <w:rPr>
          <w:rFonts w:eastAsiaTheme="minorHAnsi"/>
        </w:rPr>
        <w:t xml:space="preserve">CPP </w:t>
      </w:r>
      <w:r w:rsidRPr="002425CD">
        <w:rPr>
          <w:rFonts w:eastAsiaTheme="minorHAnsi"/>
        </w:rPr>
        <w:t xml:space="preserve">enrollment-weighted value for </w:t>
      </w:r>
      <w:r w:rsidRPr="003506C5">
        <w:rPr>
          <w:rFonts w:eastAsiaTheme="minorHAnsi"/>
          <w:i/>
        </w:rPr>
        <w:t>mean17</w:t>
      </w:r>
      <w:r w:rsidRPr="002425CD">
        <w:rPr>
          <w:rFonts w:eastAsiaTheme="minorHAnsi"/>
        </w:rPr>
        <w:t xml:space="preserve"> </w:t>
      </w:r>
      <w:r>
        <w:rPr>
          <w:rFonts w:eastAsiaTheme="minorHAnsi"/>
        </w:rPr>
        <w:t xml:space="preserve">(the weather variable used in the </w:t>
      </w:r>
      <w:proofErr w:type="spellStart"/>
      <w:r>
        <w:rPr>
          <w:rFonts w:eastAsiaTheme="minorHAnsi"/>
        </w:rPr>
        <w:t>ex ante</w:t>
      </w:r>
      <w:proofErr w:type="spellEnd"/>
      <w:r>
        <w:rPr>
          <w:rFonts w:eastAsiaTheme="minorHAnsi"/>
        </w:rPr>
        <w:t xml:space="preserve"> model)</w:t>
      </w:r>
      <w:r w:rsidR="003506C5">
        <w:rPr>
          <w:rFonts w:eastAsiaTheme="minorHAnsi"/>
        </w:rPr>
        <w:t>,</w:t>
      </w:r>
      <w:r>
        <w:rPr>
          <w:rFonts w:eastAsiaTheme="minorHAnsi"/>
        </w:rPr>
        <w:t xml:space="preserve"> </w:t>
      </w:r>
      <w:r w:rsidRPr="002425CD">
        <w:rPr>
          <w:rFonts w:eastAsiaTheme="minorHAnsi"/>
        </w:rPr>
        <w:t xml:space="preserve">for the typical event day and the monthly system peak day under the four </w:t>
      </w:r>
      <w:r w:rsidRPr="002425CD">
        <w:rPr>
          <w:rFonts w:eastAsiaTheme="minorHAnsi"/>
        </w:rPr>
        <w:lastRenderedPageBreak/>
        <w:t>sets of weather for which load impacts are estimated</w:t>
      </w:r>
      <w:r>
        <w:rPr>
          <w:rFonts w:eastAsiaTheme="minorHAnsi"/>
        </w:rPr>
        <w:t xml:space="preserve"> for each utility</w:t>
      </w:r>
      <w:proofErr w:type="gramStart"/>
      <w:r w:rsidRPr="002425CD">
        <w:rPr>
          <w:rFonts w:eastAsiaTheme="minorHAnsi"/>
        </w:rPr>
        <w:t xml:space="preserve">.  </w:t>
      </w:r>
      <w:proofErr w:type="gramEnd"/>
      <w:r w:rsidRPr="002425CD">
        <w:rPr>
          <w:rFonts w:eastAsiaTheme="minorHAnsi"/>
        </w:rPr>
        <w:t>As seen, the differences in</w:t>
      </w:r>
      <w:r w:rsidR="004C74AD">
        <w:rPr>
          <w:rFonts w:eastAsiaTheme="minorHAnsi"/>
        </w:rPr>
        <w:t> </w:t>
      </w:r>
      <w:r w:rsidRPr="002425CD">
        <w:rPr>
          <w:rFonts w:eastAsiaTheme="minorHAnsi"/>
        </w:rPr>
        <w:t xml:space="preserve">weather conditions based on </w:t>
      </w:r>
      <w:r>
        <w:rPr>
          <w:rFonts w:eastAsiaTheme="minorHAnsi"/>
        </w:rPr>
        <w:t xml:space="preserve">utility specific </w:t>
      </w:r>
      <w:r w:rsidRPr="002425CD">
        <w:rPr>
          <w:rFonts w:eastAsiaTheme="minorHAnsi"/>
        </w:rPr>
        <w:t>and CAISO peak conditions, and normal and extreme weather, vary significantly</w:t>
      </w:r>
      <w:r>
        <w:rPr>
          <w:rFonts w:eastAsiaTheme="minorHAnsi"/>
        </w:rPr>
        <w:t xml:space="preserve"> in some cases, less so in other</w:t>
      </w:r>
      <w:r w:rsidR="00D4077C">
        <w:rPr>
          <w:rFonts w:eastAsiaTheme="minorHAnsi"/>
        </w:rPr>
        <w:t>s</w:t>
      </w:r>
      <w:proofErr w:type="gramStart"/>
      <w:r w:rsidRPr="002425CD">
        <w:rPr>
          <w:rFonts w:eastAsiaTheme="minorHAnsi"/>
        </w:rPr>
        <w:t xml:space="preserve">.  </w:t>
      </w:r>
      <w:proofErr w:type="gramEnd"/>
      <w:r>
        <w:rPr>
          <w:rFonts w:eastAsiaTheme="minorHAnsi"/>
        </w:rPr>
        <w:t xml:space="preserve">For PG&amp;E, the CAISO weather conditions </w:t>
      </w:r>
      <w:r w:rsidR="00D4077C">
        <w:rPr>
          <w:rFonts w:eastAsiaTheme="minorHAnsi"/>
        </w:rPr>
        <w:t>we</w:t>
      </w:r>
      <w:r>
        <w:rPr>
          <w:rFonts w:eastAsiaTheme="minorHAnsi"/>
        </w:rPr>
        <w:t>re typically cooler in the summer months and warmer in the winter months compared with weather conditions based on PG&amp;E’s operating conditions</w:t>
      </w:r>
      <w:proofErr w:type="gramStart"/>
      <w:r>
        <w:rPr>
          <w:rFonts w:eastAsiaTheme="minorHAnsi"/>
        </w:rPr>
        <w:t xml:space="preserve">.  </w:t>
      </w:r>
      <w:proofErr w:type="gramEnd"/>
      <w:r>
        <w:rPr>
          <w:rFonts w:eastAsiaTheme="minorHAnsi"/>
        </w:rPr>
        <w:t xml:space="preserve">On the typical event day, the difference in </w:t>
      </w:r>
      <w:r w:rsidRPr="003506C5">
        <w:rPr>
          <w:rFonts w:eastAsiaTheme="minorHAnsi"/>
          <w:i/>
        </w:rPr>
        <w:t>mean17</w:t>
      </w:r>
      <w:r>
        <w:rPr>
          <w:rFonts w:eastAsiaTheme="minorHAnsi"/>
        </w:rPr>
        <w:t xml:space="preserve">, which </w:t>
      </w:r>
      <w:r w:rsidR="0000272E">
        <w:rPr>
          <w:rFonts w:eastAsiaTheme="minorHAnsi"/>
        </w:rPr>
        <w:t>i</w:t>
      </w:r>
      <w:r>
        <w:rPr>
          <w:rFonts w:eastAsiaTheme="minorHAnsi"/>
        </w:rPr>
        <w:t xml:space="preserve">s the average temperature across the hours from midnight to 5 PM, </w:t>
      </w:r>
      <w:r w:rsidR="00D4077C">
        <w:rPr>
          <w:rFonts w:eastAsiaTheme="minorHAnsi"/>
        </w:rPr>
        <w:t>wa</w:t>
      </w:r>
      <w:r>
        <w:rPr>
          <w:rFonts w:eastAsiaTheme="minorHAnsi"/>
        </w:rPr>
        <w:t>s more than 2 degrees under 1-in-2 year conditions and 3 degrees under 1-in-10 year condi</w:t>
      </w:r>
      <w:r w:rsidR="003506C5">
        <w:rPr>
          <w:rFonts w:eastAsiaTheme="minorHAnsi"/>
        </w:rPr>
        <w:t>tions</w:t>
      </w:r>
      <w:proofErr w:type="gramStart"/>
      <w:r w:rsidR="003506C5">
        <w:rPr>
          <w:rFonts w:eastAsiaTheme="minorHAnsi"/>
        </w:rPr>
        <w:t xml:space="preserve">.  </w:t>
      </w:r>
      <w:proofErr w:type="gramEnd"/>
      <w:r w:rsidR="003506C5">
        <w:rPr>
          <w:rFonts w:eastAsiaTheme="minorHAnsi"/>
        </w:rPr>
        <w:t xml:space="preserve">In the winter, the </w:t>
      </w:r>
      <w:r w:rsidR="001E41B6">
        <w:rPr>
          <w:rFonts w:eastAsiaTheme="minorHAnsi"/>
        </w:rPr>
        <w:t>CAISO</w:t>
      </w:r>
      <w:r w:rsidR="003506C5">
        <w:rPr>
          <w:rFonts w:eastAsiaTheme="minorHAnsi"/>
        </w:rPr>
        <w:t>-</w:t>
      </w:r>
      <w:r>
        <w:rPr>
          <w:rFonts w:eastAsiaTheme="minorHAnsi"/>
        </w:rPr>
        <w:t>based average</w:t>
      </w:r>
      <w:r w:rsidR="001E41B6">
        <w:rPr>
          <w:rFonts w:eastAsiaTheme="minorHAnsi"/>
        </w:rPr>
        <w:t xml:space="preserve"> temperatures</w:t>
      </w:r>
      <w:r>
        <w:rPr>
          <w:rFonts w:eastAsiaTheme="minorHAnsi"/>
        </w:rPr>
        <w:t xml:space="preserve"> </w:t>
      </w:r>
      <w:r w:rsidR="00D4077C">
        <w:rPr>
          <w:rFonts w:eastAsiaTheme="minorHAnsi"/>
        </w:rPr>
        <w:t>were</w:t>
      </w:r>
      <w:r>
        <w:rPr>
          <w:rFonts w:eastAsiaTheme="minorHAnsi"/>
        </w:rPr>
        <w:t xml:space="preserve"> higher than the </w:t>
      </w:r>
      <w:r w:rsidR="001E41B6">
        <w:rPr>
          <w:rFonts w:eastAsiaTheme="minorHAnsi"/>
        </w:rPr>
        <w:t>PG&amp;E</w:t>
      </w:r>
      <w:r w:rsidR="003506C5">
        <w:rPr>
          <w:rFonts w:eastAsiaTheme="minorHAnsi"/>
        </w:rPr>
        <w:t>-based</w:t>
      </w:r>
      <w:r>
        <w:rPr>
          <w:rFonts w:eastAsiaTheme="minorHAnsi"/>
        </w:rPr>
        <w:t xml:space="preserve"> averages</w:t>
      </w:r>
      <w:proofErr w:type="gramStart"/>
      <w:r>
        <w:rPr>
          <w:rFonts w:eastAsiaTheme="minorHAnsi"/>
        </w:rPr>
        <w:t xml:space="preserve">.  </w:t>
      </w:r>
      <w:proofErr w:type="gramEnd"/>
      <w:r>
        <w:rPr>
          <w:rFonts w:eastAsiaTheme="minorHAnsi"/>
        </w:rPr>
        <w:t>For SDG&amp;E, the CAISO</w:t>
      </w:r>
      <w:r w:rsidR="003506C5">
        <w:rPr>
          <w:rFonts w:eastAsiaTheme="minorHAnsi"/>
        </w:rPr>
        <w:t>-based</w:t>
      </w:r>
      <w:r>
        <w:rPr>
          <w:rFonts w:eastAsiaTheme="minorHAnsi"/>
        </w:rPr>
        <w:t xml:space="preserve"> conditions on the typical event day </w:t>
      </w:r>
      <w:r w:rsidR="00D4077C">
        <w:rPr>
          <w:rFonts w:eastAsiaTheme="minorHAnsi"/>
        </w:rPr>
        <w:t>we</w:t>
      </w:r>
      <w:r>
        <w:rPr>
          <w:rFonts w:eastAsiaTheme="minorHAnsi"/>
        </w:rPr>
        <w:t>re slightly higher in a normal weather year and lower in a 1-in-10 weather year</w:t>
      </w:r>
      <w:proofErr w:type="gramStart"/>
      <w:r w:rsidRPr="00697D3B">
        <w:rPr>
          <w:rFonts w:eastAsiaTheme="minorHAnsi"/>
        </w:rPr>
        <w:t xml:space="preserve">.  </w:t>
      </w:r>
      <w:proofErr w:type="gramEnd"/>
      <w:r w:rsidRPr="00697D3B">
        <w:rPr>
          <w:rFonts w:eastAsiaTheme="minorHAnsi"/>
          <w:color w:val="auto"/>
        </w:rPr>
        <w:t>For SCE</w:t>
      </w:r>
      <w:r w:rsidR="00697D3B">
        <w:rPr>
          <w:rFonts w:eastAsiaTheme="minorHAnsi"/>
          <w:color w:val="auto"/>
        </w:rPr>
        <w:t xml:space="preserve">, the CAISO-based conditions </w:t>
      </w:r>
      <w:r w:rsidR="00D4077C">
        <w:rPr>
          <w:rFonts w:eastAsiaTheme="minorHAnsi"/>
          <w:color w:val="auto"/>
        </w:rPr>
        <w:t>we</w:t>
      </w:r>
      <w:r w:rsidR="00697D3B">
        <w:rPr>
          <w:rFonts w:eastAsiaTheme="minorHAnsi"/>
          <w:color w:val="auto"/>
        </w:rPr>
        <w:t>re largely similar to the weather conditions based on the utility specific peak</w:t>
      </w:r>
      <w:proofErr w:type="gramStart"/>
      <w:r w:rsidR="00697D3B">
        <w:rPr>
          <w:rFonts w:eastAsiaTheme="minorHAnsi"/>
          <w:color w:val="auto"/>
        </w:rPr>
        <w:t>.</w:t>
      </w:r>
      <w:r w:rsidRPr="00697D3B">
        <w:rPr>
          <w:rFonts w:eastAsiaTheme="minorHAnsi"/>
          <w:color w:val="auto"/>
        </w:rPr>
        <w:t xml:space="preserve">  </w:t>
      </w:r>
      <w:proofErr w:type="gramEnd"/>
      <w:r>
        <w:rPr>
          <w:rFonts w:eastAsiaTheme="minorHAnsi"/>
        </w:rPr>
        <w:t xml:space="preserve">As </w:t>
      </w:r>
      <w:r w:rsidR="00D4077C">
        <w:rPr>
          <w:rFonts w:eastAsiaTheme="minorHAnsi"/>
        </w:rPr>
        <w:t>shown</w:t>
      </w:r>
      <w:r>
        <w:rPr>
          <w:rFonts w:eastAsiaTheme="minorHAnsi"/>
        </w:rPr>
        <w:t xml:space="preserve"> in later sections, these differences in weather across </w:t>
      </w:r>
      <w:r w:rsidR="00697D3B">
        <w:rPr>
          <w:rFonts w:eastAsiaTheme="minorHAnsi"/>
        </w:rPr>
        <w:t>utility specific and CAISO ex ante</w:t>
      </w:r>
      <w:r>
        <w:rPr>
          <w:rFonts w:eastAsiaTheme="minorHAnsi"/>
        </w:rPr>
        <w:t xml:space="preserve"> scenarios can lead to significan</w:t>
      </w:r>
      <w:r w:rsidR="00697D3B">
        <w:rPr>
          <w:rFonts w:eastAsiaTheme="minorHAnsi"/>
        </w:rPr>
        <w:t>t differences in load</w:t>
      </w:r>
      <w:r w:rsidR="00D4077C">
        <w:rPr>
          <w:rFonts w:eastAsiaTheme="minorHAnsi"/>
        </w:rPr>
        <w:t> </w:t>
      </w:r>
      <w:r w:rsidR="00697D3B">
        <w:rPr>
          <w:rFonts w:eastAsiaTheme="minorHAnsi"/>
        </w:rPr>
        <w:t>impacts</w:t>
      </w:r>
      <w:r w:rsidR="00E65224">
        <w:rPr>
          <w:rFonts w:eastAsiaTheme="minorHAnsi"/>
        </w:rPr>
        <w:t xml:space="preserve"> in some cases</w:t>
      </w:r>
      <w:r w:rsidR="00697D3B">
        <w:rPr>
          <w:rFonts w:eastAsiaTheme="minorHAnsi"/>
        </w:rPr>
        <w:t>.</w:t>
      </w:r>
    </w:p>
    <w:p w:rsidR="006A7080" w:rsidRDefault="006A7080" w:rsidP="006A7080">
      <w:pPr>
        <w:spacing w:after="240" w:line="264" w:lineRule="auto"/>
        <w:rPr>
          <w:rFonts w:eastAsiaTheme="minorHAnsi"/>
        </w:rPr>
        <w:sectPr w:rsidR="006A7080" w:rsidSect="003B398F">
          <w:headerReference w:type="default" r:id="rId43"/>
          <w:pgSz w:w="12240" w:h="15840"/>
          <w:pgMar w:top="1440" w:right="1440" w:bottom="1440" w:left="1440" w:header="720" w:footer="720" w:gutter="0"/>
          <w:cols w:space="720"/>
          <w:docGrid w:linePitch="360"/>
        </w:sectPr>
      </w:pPr>
    </w:p>
    <w:p w:rsidR="006A7080" w:rsidRPr="002425CD" w:rsidRDefault="006A7080" w:rsidP="00E01137">
      <w:pPr>
        <w:pStyle w:val="TableFigureCaption"/>
        <w:rPr>
          <w:rFonts w:eastAsiaTheme="minorHAnsi"/>
        </w:rPr>
      </w:pPr>
      <w:r w:rsidRPr="002425CD">
        <w:rPr>
          <w:rFonts w:eastAsiaTheme="minorHAnsi"/>
        </w:rPr>
        <w:lastRenderedPageBreak/>
        <w:t xml:space="preserve">Table </w:t>
      </w:r>
      <w:r>
        <w:rPr>
          <w:rFonts w:eastAsiaTheme="minorHAnsi"/>
        </w:rPr>
        <w:t>3</w:t>
      </w:r>
      <w:r w:rsidRPr="002425CD">
        <w:rPr>
          <w:rFonts w:eastAsiaTheme="minorHAnsi"/>
        </w:rPr>
        <w:t xml:space="preserve">-2:  </w:t>
      </w:r>
      <w:r>
        <w:rPr>
          <w:rFonts w:eastAsiaTheme="minorHAnsi"/>
        </w:rPr>
        <w:t xml:space="preserve">Enrollment </w:t>
      </w:r>
      <w:r w:rsidRPr="002425CD">
        <w:rPr>
          <w:rFonts w:eastAsiaTheme="minorHAnsi"/>
        </w:rPr>
        <w:t>Weighted Ex Ante Weather Values (</w:t>
      </w:r>
      <w:r w:rsidRPr="008028DC">
        <w:rPr>
          <w:rFonts w:eastAsiaTheme="minorHAnsi"/>
          <w:i/>
        </w:rPr>
        <w:t>mean17</w:t>
      </w:r>
      <w:r w:rsidRPr="002425CD">
        <w:rPr>
          <w:rFonts w:eastAsiaTheme="minorHAnsi"/>
        </w:rPr>
        <w:t>)</w:t>
      </w:r>
      <w:r>
        <w:rPr>
          <w:rFonts w:eastAsiaTheme="minorHAnsi"/>
        </w:rPr>
        <w:t xml:space="preserve"> by Utility, </w:t>
      </w:r>
      <w:proofErr w:type="gramStart"/>
      <w:r>
        <w:rPr>
          <w:rFonts w:eastAsiaTheme="minorHAnsi"/>
        </w:rPr>
        <w:t>Month</w:t>
      </w:r>
      <w:proofErr w:type="gramEnd"/>
      <w:r>
        <w:rPr>
          <w:rFonts w:eastAsiaTheme="minorHAnsi"/>
        </w:rPr>
        <w:t xml:space="preserve"> and Weather Scenario</w:t>
      </w:r>
    </w:p>
    <w:tbl>
      <w:tblPr>
        <w:tblW w:w="4609" w:type="pct"/>
        <w:jc w:val="center"/>
        <w:tblInd w:w="-394" w:type="dxa"/>
        <w:tblCellMar>
          <w:left w:w="0" w:type="dxa"/>
          <w:right w:w="0" w:type="dxa"/>
        </w:tblCellMar>
        <w:tblLook w:val="04A0" w:firstRow="1" w:lastRow="0" w:firstColumn="1" w:lastColumn="0" w:noHBand="0" w:noVBand="1"/>
      </w:tblPr>
      <w:tblGrid>
        <w:gridCol w:w="2280"/>
        <w:gridCol w:w="756"/>
        <w:gridCol w:w="868"/>
        <w:gridCol w:w="808"/>
        <w:gridCol w:w="866"/>
        <w:gridCol w:w="753"/>
        <w:gridCol w:w="808"/>
        <w:gridCol w:w="806"/>
        <w:gridCol w:w="804"/>
        <w:gridCol w:w="804"/>
        <w:gridCol w:w="806"/>
        <w:gridCol w:w="804"/>
        <w:gridCol w:w="797"/>
      </w:tblGrid>
      <w:tr w:rsidR="00E01137" w:rsidRPr="002425CD" w:rsidTr="00941CD5">
        <w:trPr>
          <w:trHeight w:val="278"/>
          <w:tblHeader/>
          <w:jc w:val="center"/>
        </w:trPr>
        <w:tc>
          <w:tcPr>
            <w:tcW w:w="953" w:type="pct"/>
            <w:vMerge w:val="restart"/>
            <w:tcBorders>
              <w:top w:val="single" w:sz="8" w:space="0" w:color="auto"/>
              <w:left w:val="single" w:sz="8" w:space="0" w:color="auto"/>
              <w:right w:val="single" w:sz="4" w:space="0" w:color="FFFFFF" w:themeColor="background1"/>
            </w:tcBorders>
            <w:shd w:val="clear" w:color="auto" w:fill="0070CD"/>
            <w:vAlign w:val="center"/>
          </w:tcPr>
          <w:p w:rsidR="00E01137" w:rsidRPr="002425CD" w:rsidRDefault="00941CD5" w:rsidP="00941CD5">
            <w:pPr>
              <w:pStyle w:val="TableHeader"/>
              <w:rPr>
                <w:rFonts w:eastAsiaTheme="minorHAnsi"/>
              </w:rPr>
            </w:pPr>
            <w:r>
              <w:rPr>
                <w:rFonts w:eastAsiaTheme="minorHAnsi"/>
              </w:rPr>
              <w:t>Ex Ante Scenario</w:t>
            </w:r>
          </w:p>
        </w:tc>
        <w:tc>
          <w:tcPr>
            <w:tcW w:w="1379" w:type="pct"/>
            <w:gridSpan w:val="4"/>
            <w:tcBorders>
              <w:top w:val="single" w:sz="4" w:space="0" w:color="auto"/>
              <w:left w:val="single" w:sz="4" w:space="0" w:color="FFFFFF" w:themeColor="background1"/>
              <w:bottom w:val="single" w:sz="8" w:space="0" w:color="FFFFFF"/>
              <w:right w:val="single" w:sz="8" w:space="0" w:color="FFFFFF"/>
            </w:tcBorders>
            <w:shd w:val="clear" w:color="auto" w:fill="0070CD"/>
            <w:tcMar>
              <w:top w:w="0" w:type="dxa"/>
              <w:left w:w="108" w:type="dxa"/>
              <w:bottom w:w="0" w:type="dxa"/>
              <w:right w:w="108" w:type="dxa"/>
            </w:tcMar>
            <w:vAlign w:val="center"/>
          </w:tcPr>
          <w:p w:rsidR="00E01137" w:rsidRPr="002425CD" w:rsidRDefault="00E01137" w:rsidP="00E01137">
            <w:pPr>
              <w:pStyle w:val="TableHeader"/>
              <w:rPr>
                <w:rFonts w:eastAsiaTheme="minorHAnsi"/>
              </w:rPr>
            </w:pPr>
            <w:r>
              <w:rPr>
                <w:rFonts w:eastAsiaTheme="minorHAnsi"/>
              </w:rPr>
              <w:t>PG&amp;E</w:t>
            </w:r>
          </w:p>
        </w:tc>
        <w:tc>
          <w:tcPr>
            <w:tcW w:w="1326" w:type="pct"/>
            <w:gridSpan w:val="4"/>
            <w:tcBorders>
              <w:top w:val="single" w:sz="4" w:space="0" w:color="auto"/>
              <w:left w:val="nil"/>
              <w:bottom w:val="single" w:sz="8" w:space="0" w:color="FFFFFF"/>
              <w:right w:val="single" w:sz="8" w:space="0" w:color="FFFFFF"/>
            </w:tcBorders>
            <w:shd w:val="clear" w:color="auto" w:fill="0070CD"/>
            <w:vAlign w:val="center"/>
          </w:tcPr>
          <w:p w:rsidR="00E01137" w:rsidRPr="002425CD" w:rsidRDefault="00E01137" w:rsidP="00E01137">
            <w:pPr>
              <w:pStyle w:val="TableHeader"/>
              <w:rPr>
                <w:rFonts w:eastAsiaTheme="minorHAnsi"/>
              </w:rPr>
            </w:pPr>
            <w:r>
              <w:rPr>
                <w:rFonts w:eastAsiaTheme="minorHAnsi"/>
              </w:rPr>
              <w:t>SCE</w:t>
            </w:r>
          </w:p>
        </w:tc>
        <w:tc>
          <w:tcPr>
            <w:tcW w:w="1342" w:type="pct"/>
            <w:gridSpan w:val="4"/>
            <w:tcBorders>
              <w:top w:val="single" w:sz="4" w:space="0" w:color="auto"/>
              <w:left w:val="nil"/>
              <w:bottom w:val="single" w:sz="8" w:space="0" w:color="FFFFFF"/>
              <w:right w:val="single" w:sz="4" w:space="0" w:color="auto"/>
            </w:tcBorders>
            <w:shd w:val="clear" w:color="auto" w:fill="0070CD"/>
            <w:vAlign w:val="center"/>
          </w:tcPr>
          <w:p w:rsidR="00E01137" w:rsidRPr="002425CD" w:rsidRDefault="00E01137" w:rsidP="00E01137">
            <w:pPr>
              <w:pStyle w:val="TableHeader"/>
              <w:rPr>
                <w:rFonts w:eastAsiaTheme="minorHAnsi"/>
              </w:rPr>
            </w:pPr>
            <w:r>
              <w:rPr>
                <w:rFonts w:eastAsiaTheme="minorHAnsi"/>
              </w:rPr>
              <w:t>SDG&amp;E</w:t>
            </w:r>
          </w:p>
        </w:tc>
      </w:tr>
      <w:tr w:rsidR="00E01137" w:rsidRPr="002425CD" w:rsidTr="00941CD5">
        <w:trPr>
          <w:trHeight w:val="278"/>
          <w:tblHeader/>
          <w:jc w:val="center"/>
        </w:trPr>
        <w:tc>
          <w:tcPr>
            <w:tcW w:w="953" w:type="pct"/>
            <w:vMerge/>
            <w:tcBorders>
              <w:left w:val="single" w:sz="8" w:space="0" w:color="auto"/>
              <w:right w:val="single" w:sz="4" w:space="0" w:color="FFFFFF" w:themeColor="background1"/>
            </w:tcBorders>
            <w:shd w:val="clear" w:color="auto" w:fill="0070CD"/>
            <w:vAlign w:val="center"/>
          </w:tcPr>
          <w:p w:rsidR="00E01137" w:rsidRPr="002425CD" w:rsidRDefault="00E01137" w:rsidP="00E01137">
            <w:pPr>
              <w:pStyle w:val="TableHeader"/>
              <w:rPr>
                <w:rFonts w:eastAsiaTheme="minorHAnsi"/>
              </w:rPr>
            </w:pPr>
          </w:p>
        </w:tc>
        <w:tc>
          <w:tcPr>
            <w:tcW w:w="679" w:type="pct"/>
            <w:gridSpan w:val="2"/>
            <w:tcBorders>
              <w:top w:val="nil"/>
              <w:left w:val="single" w:sz="4" w:space="0" w:color="FFFFFF" w:themeColor="background1"/>
              <w:bottom w:val="single" w:sz="8" w:space="0" w:color="FFFFFF"/>
              <w:right w:val="single" w:sz="8" w:space="0" w:color="FFFFFF"/>
            </w:tcBorders>
            <w:shd w:val="clear" w:color="auto" w:fill="0070CD"/>
            <w:tcMar>
              <w:top w:w="0" w:type="dxa"/>
              <w:left w:w="108" w:type="dxa"/>
              <w:bottom w:w="0" w:type="dxa"/>
              <w:right w:w="108" w:type="dxa"/>
            </w:tcMar>
            <w:vAlign w:val="center"/>
          </w:tcPr>
          <w:p w:rsidR="00E01137" w:rsidRPr="002425CD" w:rsidRDefault="00E01137" w:rsidP="00E01137">
            <w:pPr>
              <w:pStyle w:val="TableHeader"/>
              <w:rPr>
                <w:rFonts w:eastAsiaTheme="minorHAnsi"/>
              </w:rPr>
            </w:pPr>
            <w:r>
              <w:rPr>
                <w:rFonts w:eastAsiaTheme="minorHAnsi"/>
              </w:rPr>
              <w:t>Utility Weather</w:t>
            </w:r>
          </w:p>
        </w:tc>
        <w:tc>
          <w:tcPr>
            <w:tcW w:w="700" w:type="pct"/>
            <w:gridSpan w:val="2"/>
            <w:tcBorders>
              <w:top w:val="nil"/>
              <w:left w:val="nil"/>
              <w:bottom w:val="single" w:sz="8" w:space="0" w:color="FFFFFF"/>
              <w:right w:val="single" w:sz="8" w:space="0" w:color="FFFFFF"/>
            </w:tcBorders>
            <w:shd w:val="clear" w:color="auto" w:fill="0070CD"/>
            <w:tcMar>
              <w:top w:w="0" w:type="dxa"/>
              <w:left w:w="108" w:type="dxa"/>
              <w:bottom w:w="0" w:type="dxa"/>
              <w:right w:w="108" w:type="dxa"/>
            </w:tcMar>
            <w:vAlign w:val="center"/>
          </w:tcPr>
          <w:p w:rsidR="00E01137" w:rsidRPr="002425CD" w:rsidRDefault="00E01137" w:rsidP="00E01137">
            <w:pPr>
              <w:pStyle w:val="TableHeader"/>
              <w:rPr>
                <w:rFonts w:eastAsiaTheme="minorHAnsi"/>
              </w:rPr>
            </w:pPr>
            <w:r>
              <w:rPr>
                <w:rFonts w:eastAsiaTheme="minorHAnsi"/>
              </w:rPr>
              <w:t>CAISO Weather</w:t>
            </w:r>
          </w:p>
        </w:tc>
        <w:tc>
          <w:tcPr>
            <w:tcW w:w="653" w:type="pct"/>
            <w:gridSpan w:val="2"/>
            <w:tcBorders>
              <w:top w:val="nil"/>
              <w:left w:val="nil"/>
              <w:bottom w:val="single" w:sz="8" w:space="0" w:color="FFFFFF"/>
              <w:right w:val="single" w:sz="8" w:space="0" w:color="FFFFFF"/>
            </w:tcBorders>
            <w:shd w:val="clear" w:color="auto" w:fill="0070CD"/>
            <w:vAlign w:val="center"/>
          </w:tcPr>
          <w:p w:rsidR="00E01137" w:rsidRPr="002425CD" w:rsidRDefault="00E01137" w:rsidP="00E01137">
            <w:pPr>
              <w:pStyle w:val="TableHeader"/>
              <w:rPr>
                <w:rFonts w:eastAsiaTheme="minorHAnsi"/>
              </w:rPr>
            </w:pPr>
            <w:r>
              <w:rPr>
                <w:rFonts w:eastAsiaTheme="minorHAnsi"/>
              </w:rPr>
              <w:t>Utility Weather</w:t>
            </w:r>
          </w:p>
        </w:tc>
        <w:tc>
          <w:tcPr>
            <w:tcW w:w="673" w:type="pct"/>
            <w:gridSpan w:val="2"/>
            <w:tcBorders>
              <w:top w:val="nil"/>
              <w:left w:val="nil"/>
              <w:bottom w:val="single" w:sz="8" w:space="0" w:color="FFFFFF"/>
              <w:right w:val="single" w:sz="8" w:space="0" w:color="FFFFFF"/>
            </w:tcBorders>
            <w:shd w:val="clear" w:color="auto" w:fill="0070CD"/>
            <w:vAlign w:val="center"/>
          </w:tcPr>
          <w:p w:rsidR="00E01137" w:rsidRPr="002425CD" w:rsidRDefault="00E01137" w:rsidP="00E01137">
            <w:pPr>
              <w:pStyle w:val="TableHeader"/>
              <w:rPr>
                <w:rFonts w:eastAsiaTheme="minorHAnsi"/>
              </w:rPr>
            </w:pPr>
            <w:r>
              <w:rPr>
                <w:rFonts w:eastAsiaTheme="minorHAnsi"/>
              </w:rPr>
              <w:t>CAISO Weather</w:t>
            </w:r>
          </w:p>
        </w:tc>
        <w:tc>
          <w:tcPr>
            <w:tcW w:w="673" w:type="pct"/>
            <w:gridSpan w:val="2"/>
            <w:tcBorders>
              <w:top w:val="nil"/>
              <w:left w:val="nil"/>
              <w:bottom w:val="single" w:sz="8" w:space="0" w:color="FFFFFF"/>
              <w:right w:val="single" w:sz="8" w:space="0" w:color="FFFFFF"/>
            </w:tcBorders>
            <w:shd w:val="clear" w:color="auto" w:fill="0070CD"/>
            <w:vAlign w:val="center"/>
          </w:tcPr>
          <w:p w:rsidR="00E01137" w:rsidRPr="002425CD" w:rsidRDefault="00E01137" w:rsidP="00E01137">
            <w:pPr>
              <w:pStyle w:val="TableHeader"/>
              <w:rPr>
                <w:rFonts w:eastAsiaTheme="minorHAnsi"/>
              </w:rPr>
            </w:pPr>
            <w:r>
              <w:rPr>
                <w:rFonts w:eastAsiaTheme="minorHAnsi"/>
              </w:rPr>
              <w:t>Utility Weather</w:t>
            </w:r>
          </w:p>
        </w:tc>
        <w:tc>
          <w:tcPr>
            <w:tcW w:w="669" w:type="pct"/>
            <w:gridSpan w:val="2"/>
            <w:tcBorders>
              <w:top w:val="nil"/>
              <w:left w:val="nil"/>
              <w:bottom w:val="single" w:sz="8" w:space="0" w:color="FFFFFF"/>
              <w:right w:val="single" w:sz="4" w:space="0" w:color="auto"/>
            </w:tcBorders>
            <w:shd w:val="clear" w:color="auto" w:fill="0070CD"/>
            <w:vAlign w:val="center"/>
          </w:tcPr>
          <w:p w:rsidR="00E01137" w:rsidRPr="002425CD" w:rsidRDefault="00E01137" w:rsidP="00E01137">
            <w:pPr>
              <w:pStyle w:val="TableHeader"/>
              <w:rPr>
                <w:rFonts w:eastAsiaTheme="minorHAnsi"/>
              </w:rPr>
            </w:pPr>
            <w:r>
              <w:rPr>
                <w:rFonts w:eastAsiaTheme="minorHAnsi"/>
              </w:rPr>
              <w:t>CAISO Weather</w:t>
            </w:r>
          </w:p>
        </w:tc>
      </w:tr>
      <w:tr w:rsidR="00E01137" w:rsidRPr="002425CD" w:rsidTr="00941CD5">
        <w:trPr>
          <w:trHeight w:val="278"/>
          <w:tblHeader/>
          <w:jc w:val="center"/>
        </w:trPr>
        <w:tc>
          <w:tcPr>
            <w:tcW w:w="953" w:type="pct"/>
            <w:vMerge/>
            <w:tcBorders>
              <w:left w:val="single" w:sz="8" w:space="0" w:color="auto"/>
              <w:bottom w:val="single" w:sz="6" w:space="0" w:color="auto"/>
              <w:right w:val="single" w:sz="4" w:space="0" w:color="FFFFFF" w:themeColor="background1"/>
            </w:tcBorders>
            <w:shd w:val="clear" w:color="auto" w:fill="0070CD"/>
            <w:vAlign w:val="center"/>
            <w:hideMark/>
          </w:tcPr>
          <w:p w:rsidR="00E01137" w:rsidRPr="002425CD" w:rsidRDefault="00E01137" w:rsidP="00E01137">
            <w:pPr>
              <w:pStyle w:val="TableHeader"/>
              <w:rPr>
                <w:rFonts w:eastAsiaTheme="minorHAnsi"/>
              </w:rPr>
            </w:pPr>
          </w:p>
        </w:tc>
        <w:tc>
          <w:tcPr>
            <w:tcW w:w="316" w:type="pct"/>
            <w:tcBorders>
              <w:top w:val="nil"/>
              <w:left w:val="single" w:sz="4" w:space="0" w:color="FFFFFF" w:themeColor="background1"/>
              <w:bottom w:val="single" w:sz="4" w:space="0" w:color="auto"/>
              <w:right w:val="single" w:sz="8" w:space="0" w:color="FFFFFF"/>
            </w:tcBorders>
            <w:shd w:val="clear" w:color="auto" w:fill="0070CD"/>
            <w:tcMar>
              <w:top w:w="0" w:type="dxa"/>
              <w:left w:w="108" w:type="dxa"/>
              <w:bottom w:w="0" w:type="dxa"/>
              <w:right w:w="108" w:type="dxa"/>
            </w:tcMar>
            <w:vAlign w:val="center"/>
            <w:hideMark/>
          </w:tcPr>
          <w:p w:rsidR="00E01137" w:rsidRPr="002425CD" w:rsidRDefault="00E01137" w:rsidP="00E01137">
            <w:pPr>
              <w:pStyle w:val="TableHeader"/>
              <w:rPr>
                <w:rFonts w:eastAsiaTheme="minorHAnsi"/>
              </w:rPr>
            </w:pPr>
            <w:r w:rsidRPr="002425CD">
              <w:rPr>
                <w:rFonts w:eastAsiaTheme="minorHAnsi"/>
              </w:rPr>
              <w:t>1-in-2</w:t>
            </w:r>
          </w:p>
        </w:tc>
        <w:tc>
          <w:tcPr>
            <w:tcW w:w="363"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E01137" w:rsidRPr="002425CD" w:rsidRDefault="00E01137" w:rsidP="00E01137">
            <w:pPr>
              <w:pStyle w:val="TableHeader"/>
              <w:rPr>
                <w:rFonts w:eastAsiaTheme="minorHAnsi"/>
              </w:rPr>
            </w:pPr>
            <w:r w:rsidRPr="002425CD">
              <w:rPr>
                <w:rFonts w:eastAsiaTheme="minorHAnsi"/>
              </w:rPr>
              <w:t>1-in-10</w:t>
            </w:r>
          </w:p>
        </w:tc>
        <w:tc>
          <w:tcPr>
            <w:tcW w:w="338"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E01137" w:rsidRPr="002425CD" w:rsidRDefault="00E01137" w:rsidP="00E01137">
            <w:pPr>
              <w:pStyle w:val="TableHeader"/>
              <w:rPr>
                <w:rFonts w:eastAsiaTheme="minorHAnsi"/>
              </w:rPr>
            </w:pPr>
            <w:r w:rsidRPr="002425CD">
              <w:rPr>
                <w:rFonts w:eastAsiaTheme="minorHAnsi"/>
              </w:rPr>
              <w:t>1-in-2</w:t>
            </w:r>
          </w:p>
        </w:tc>
        <w:tc>
          <w:tcPr>
            <w:tcW w:w="362" w:type="pct"/>
            <w:tcBorders>
              <w:top w:val="nil"/>
              <w:left w:val="nil"/>
              <w:bottom w:val="single" w:sz="4" w:space="0" w:color="auto"/>
              <w:right w:val="single" w:sz="8" w:space="0" w:color="FFFFFF"/>
            </w:tcBorders>
            <w:shd w:val="clear" w:color="auto" w:fill="0070CD"/>
            <w:tcMar>
              <w:top w:w="0" w:type="dxa"/>
              <w:left w:w="108" w:type="dxa"/>
              <w:bottom w:w="0" w:type="dxa"/>
              <w:right w:w="108" w:type="dxa"/>
            </w:tcMar>
            <w:vAlign w:val="center"/>
            <w:hideMark/>
          </w:tcPr>
          <w:p w:rsidR="00E01137" w:rsidRPr="002425CD" w:rsidRDefault="00E01137" w:rsidP="00E01137">
            <w:pPr>
              <w:pStyle w:val="TableHeader"/>
              <w:rPr>
                <w:rFonts w:eastAsiaTheme="minorHAnsi"/>
              </w:rPr>
            </w:pPr>
            <w:r w:rsidRPr="002425CD">
              <w:rPr>
                <w:rFonts w:eastAsiaTheme="minorHAnsi"/>
              </w:rPr>
              <w:t>1-in-10</w:t>
            </w:r>
          </w:p>
        </w:tc>
        <w:tc>
          <w:tcPr>
            <w:tcW w:w="315"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1-in-2</w:t>
            </w:r>
          </w:p>
        </w:tc>
        <w:tc>
          <w:tcPr>
            <w:tcW w:w="338"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1-in-10</w:t>
            </w:r>
          </w:p>
        </w:tc>
        <w:tc>
          <w:tcPr>
            <w:tcW w:w="337"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1-in-2</w:t>
            </w:r>
          </w:p>
        </w:tc>
        <w:tc>
          <w:tcPr>
            <w:tcW w:w="336"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1-in-10</w:t>
            </w:r>
          </w:p>
        </w:tc>
        <w:tc>
          <w:tcPr>
            <w:tcW w:w="336"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1-in-2</w:t>
            </w:r>
          </w:p>
        </w:tc>
        <w:tc>
          <w:tcPr>
            <w:tcW w:w="337"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1-in-10</w:t>
            </w:r>
          </w:p>
        </w:tc>
        <w:tc>
          <w:tcPr>
            <w:tcW w:w="336" w:type="pct"/>
            <w:tcBorders>
              <w:top w:val="nil"/>
              <w:left w:val="nil"/>
              <w:bottom w:val="single" w:sz="4" w:space="0" w:color="auto"/>
              <w:right w:val="single" w:sz="8" w:space="0" w:color="FFFFFF"/>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1-in-2</w:t>
            </w:r>
          </w:p>
        </w:tc>
        <w:tc>
          <w:tcPr>
            <w:tcW w:w="333" w:type="pct"/>
            <w:tcBorders>
              <w:top w:val="nil"/>
              <w:left w:val="nil"/>
              <w:bottom w:val="single" w:sz="4" w:space="0" w:color="auto"/>
              <w:right w:val="single" w:sz="4" w:space="0" w:color="auto"/>
            </w:tcBorders>
            <w:shd w:val="clear" w:color="auto" w:fill="0070CD"/>
            <w:vAlign w:val="center"/>
          </w:tcPr>
          <w:p w:rsidR="00E01137" w:rsidRPr="002425CD" w:rsidRDefault="00E01137" w:rsidP="00E01137">
            <w:pPr>
              <w:pStyle w:val="TableHeader"/>
              <w:rPr>
                <w:rFonts w:eastAsiaTheme="minorHAnsi"/>
              </w:rPr>
            </w:pPr>
            <w:r w:rsidRPr="002425CD">
              <w:rPr>
                <w:rFonts w:eastAsiaTheme="minorHAnsi"/>
              </w:rPr>
              <w:t>1-in-10</w:t>
            </w:r>
          </w:p>
        </w:tc>
      </w:tr>
      <w:tr w:rsidR="00941CD5" w:rsidRPr="002425CD" w:rsidTr="00941CD5">
        <w:trPr>
          <w:trHeight w:val="315"/>
          <w:jc w:val="center"/>
        </w:trPr>
        <w:tc>
          <w:tcPr>
            <w:tcW w:w="953" w:type="pct"/>
            <w:tcBorders>
              <w:top w:val="single" w:sz="6"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Typical Event Day</w:t>
            </w:r>
          </w:p>
        </w:tc>
        <w:tc>
          <w:tcPr>
            <w:tcW w:w="316" w:type="pct"/>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77.4</w:t>
            </w:r>
          </w:p>
        </w:tc>
        <w:tc>
          <w:tcPr>
            <w:tcW w:w="363"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81.1</w:t>
            </w:r>
          </w:p>
        </w:tc>
        <w:tc>
          <w:tcPr>
            <w:tcW w:w="338"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75.1</w:t>
            </w:r>
          </w:p>
        </w:tc>
        <w:tc>
          <w:tcPr>
            <w:tcW w:w="362" w:type="pct"/>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78.1</w:t>
            </w:r>
          </w:p>
        </w:tc>
        <w:tc>
          <w:tcPr>
            <w:tcW w:w="315" w:type="pct"/>
            <w:tcBorders>
              <w:top w:val="single" w:sz="4" w:space="0" w:color="auto"/>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75.8</w:t>
            </w:r>
          </w:p>
        </w:tc>
        <w:tc>
          <w:tcPr>
            <w:tcW w:w="338" w:type="pct"/>
            <w:tcBorders>
              <w:top w:val="single" w:sz="4" w:space="0" w:color="auto"/>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80.2</w:t>
            </w:r>
          </w:p>
        </w:tc>
        <w:tc>
          <w:tcPr>
            <w:tcW w:w="337" w:type="pct"/>
            <w:tcBorders>
              <w:top w:val="single" w:sz="4" w:space="0" w:color="auto"/>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77.1</w:t>
            </w:r>
          </w:p>
        </w:tc>
        <w:tc>
          <w:tcPr>
            <w:tcW w:w="336" w:type="pct"/>
            <w:tcBorders>
              <w:top w:val="single" w:sz="4" w:space="0" w:color="auto"/>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80.1</w:t>
            </w:r>
          </w:p>
        </w:tc>
        <w:tc>
          <w:tcPr>
            <w:tcW w:w="336" w:type="pct"/>
            <w:tcBorders>
              <w:top w:val="single" w:sz="4" w:space="0" w:color="auto"/>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72.5</w:t>
            </w:r>
          </w:p>
        </w:tc>
        <w:tc>
          <w:tcPr>
            <w:tcW w:w="337" w:type="pct"/>
            <w:tcBorders>
              <w:top w:val="single" w:sz="4" w:space="0" w:color="auto"/>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77.5</w:t>
            </w:r>
          </w:p>
        </w:tc>
        <w:tc>
          <w:tcPr>
            <w:tcW w:w="336" w:type="pct"/>
            <w:tcBorders>
              <w:top w:val="single" w:sz="4" w:space="0" w:color="auto"/>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73.2</w:t>
            </w:r>
          </w:p>
        </w:tc>
        <w:tc>
          <w:tcPr>
            <w:tcW w:w="333" w:type="pct"/>
            <w:tcBorders>
              <w:top w:val="single" w:sz="4" w:space="0" w:color="auto"/>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75.9</w:t>
            </w:r>
          </w:p>
        </w:tc>
      </w:tr>
      <w:tr w:rsidR="00941CD5" w:rsidRPr="002425CD" w:rsidTr="00941CD5">
        <w:trPr>
          <w:trHeight w:val="315"/>
          <w:jc w:val="center"/>
        </w:trPr>
        <w:tc>
          <w:tcPr>
            <w:tcW w:w="95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January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42.7</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40.6</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44.2</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40.8</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53.1</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46.7</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48.4</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44.0</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52.4</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49.0</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52.2</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47.4</w:t>
            </w:r>
          </w:p>
        </w:tc>
      </w:tr>
      <w:tr w:rsidR="00941CD5" w:rsidRPr="002425CD" w:rsidTr="00941CD5">
        <w:trPr>
          <w:trHeight w:val="315"/>
          <w:jc w:val="center"/>
        </w:trPr>
        <w:tc>
          <w:tcPr>
            <w:tcW w:w="95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February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47.0</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45.8</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49.7</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48.7</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55.7</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53.6</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50.7</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52.3</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53.6</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54.1</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54.9</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55.1</w:t>
            </w:r>
          </w:p>
        </w:tc>
      </w:tr>
      <w:tr w:rsidR="00941CD5" w:rsidRPr="002425CD" w:rsidTr="00941CD5">
        <w:trPr>
          <w:trHeight w:val="315"/>
          <w:jc w:val="center"/>
        </w:trPr>
        <w:tc>
          <w:tcPr>
            <w:tcW w:w="95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March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49.9</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52.5</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51.5</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60.3</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56.0</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63.8</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51.1</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65.5</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56.3</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64.8</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54.8</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66.6</w:t>
            </w:r>
          </w:p>
        </w:tc>
      </w:tr>
      <w:tr w:rsidR="00941CD5" w:rsidRPr="002425CD" w:rsidTr="00941CD5">
        <w:trPr>
          <w:trHeight w:val="315"/>
          <w:jc w:val="center"/>
        </w:trPr>
        <w:tc>
          <w:tcPr>
            <w:tcW w:w="95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April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67.5</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74.2</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66.9</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72.5</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67.3</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75.1</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66.5</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75.1</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65.7</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74.4</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64.2</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74.0</w:t>
            </w:r>
          </w:p>
        </w:tc>
      </w:tr>
      <w:tr w:rsidR="00941CD5" w:rsidRPr="002425CD" w:rsidTr="00941CD5">
        <w:trPr>
          <w:trHeight w:val="315"/>
          <w:jc w:val="center"/>
        </w:trPr>
        <w:tc>
          <w:tcPr>
            <w:tcW w:w="95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May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71.3</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80.2</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70.0</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74.4</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69.4</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78.2</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67.6</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76.6</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67.7</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75.9</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64.5</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72.8</w:t>
            </w:r>
          </w:p>
        </w:tc>
      </w:tr>
      <w:tr w:rsidR="00941CD5" w:rsidRPr="002425CD" w:rsidTr="00941CD5">
        <w:trPr>
          <w:trHeight w:val="315"/>
          <w:jc w:val="center"/>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June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77.6</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82.1</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77.3</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77.4</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71.8</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76.4</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72.5</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76.8</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68.1</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73.2</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68.7</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73.0</w:t>
            </w:r>
          </w:p>
        </w:tc>
      </w:tr>
      <w:tr w:rsidR="00941CD5" w:rsidRPr="002425CD" w:rsidTr="00941CD5">
        <w:trPr>
          <w:trHeight w:val="315"/>
          <w:jc w:val="center"/>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July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77.6</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82.4</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76.2</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80.8</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75.5</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79.8</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78.8</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79.0</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71.9</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77.9</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71.6</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73.6</w:t>
            </w:r>
          </w:p>
        </w:tc>
      </w:tr>
      <w:tr w:rsidR="00941CD5" w:rsidRPr="002425CD" w:rsidTr="00941CD5">
        <w:trPr>
          <w:trHeight w:val="315"/>
          <w:jc w:val="center"/>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August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77.7</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81.2</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73.7</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78.9</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79.7</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81.9</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78.8</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81.1</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74.9</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78.6</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76.0</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76.5</w:t>
            </w:r>
          </w:p>
        </w:tc>
      </w:tr>
      <w:tr w:rsidR="00941CD5" w:rsidRPr="002425CD" w:rsidTr="00941CD5">
        <w:trPr>
          <w:trHeight w:val="315"/>
          <w:jc w:val="center"/>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September Peak Day</w:t>
            </w:r>
          </w:p>
        </w:tc>
        <w:tc>
          <w:tcPr>
            <w:tcW w:w="316"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76.7</w:t>
            </w:r>
          </w:p>
        </w:tc>
        <w:tc>
          <w:tcPr>
            <w:tcW w:w="363"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78.8</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73.0</w:t>
            </w:r>
          </w:p>
        </w:tc>
        <w:tc>
          <w:tcPr>
            <w:tcW w:w="362" w:type="pct"/>
            <w:tcBorders>
              <w:top w:val="nil"/>
              <w:left w:val="nil"/>
              <w:bottom w:val="single" w:sz="8" w:space="0" w:color="auto"/>
              <w:right w:val="single" w:sz="8"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75.4</w:t>
            </w:r>
          </w:p>
        </w:tc>
        <w:tc>
          <w:tcPr>
            <w:tcW w:w="315"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76.2</w:t>
            </w:r>
          </w:p>
        </w:tc>
        <w:tc>
          <w:tcPr>
            <w:tcW w:w="338"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82.9</w:t>
            </w:r>
          </w:p>
        </w:tc>
        <w:tc>
          <w:tcPr>
            <w:tcW w:w="337"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78.3</w:t>
            </w:r>
          </w:p>
        </w:tc>
        <w:tc>
          <w:tcPr>
            <w:tcW w:w="336" w:type="pct"/>
            <w:tcBorders>
              <w:top w:val="nil"/>
              <w:left w:val="nil"/>
              <w:bottom w:val="single" w:sz="8" w:space="0" w:color="auto"/>
              <w:right w:val="single" w:sz="8"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83.3</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75.1</w:t>
            </w:r>
          </w:p>
        </w:tc>
        <w:tc>
          <w:tcPr>
            <w:tcW w:w="337"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80.2</w:t>
            </w:r>
          </w:p>
        </w:tc>
        <w:tc>
          <w:tcPr>
            <w:tcW w:w="336"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76.4</w:t>
            </w:r>
          </w:p>
        </w:tc>
        <w:tc>
          <w:tcPr>
            <w:tcW w:w="333" w:type="pct"/>
            <w:tcBorders>
              <w:top w:val="nil"/>
              <w:left w:val="nil"/>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80.6</w:t>
            </w:r>
          </w:p>
        </w:tc>
      </w:tr>
      <w:tr w:rsidR="00941CD5" w:rsidRPr="002425CD" w:rsidTr="00941CD5">
        <w:trPr>
          <w:trHeight w:val="315"/>
          <w:jc w:val="center"/>
        </w:trPr>
        <w:tc>
          <w:tcPr>
            <w:tcW w:w="953" w:type="pct"/>
            <w:tcBorders>
              <w:top w:val="single" w:sz="8" w:space="0" w:color="auto"/>
              <w:left w:val="single" w:sz="8" w:space="0" w:color="auto"/>
              <w:bottom w:val="single" w:sz="6" w:space="0" w:color="auto"/>
              <w:right w:val="single" w:sz="6" w:space="0" w:color="auto"/>
            </w:tcBorders>
            <w:tcMar>
              <w:top w:w="0" w:type="dxa"/>
              <w:left w:w="108" w:type="dxa"/>
              <w:bottom w:w="0" w:type="dxa"/>
              <w:right w:w="108" w:type="dxa"/>
            </w:tcMar>
            <w:vAlign w:val="center"/>
            <w:hideMark/>
          </w:tcPr>
          <w:p w:rsidR="00941CD5" w:rsidRPr="002425CD" w:rsidRDefault="00941CD5" w:rsidP="00E01137">
            <w:pPr>
              <w:pStyle w:val="TableText"/>
              <w:rPr>
                <w:rFonts w:eastAsiaTheme="minorHAnsi"/>
              </w:rPr>
            </w:pPr>
            <w:r w:rsidRPr="002425CD">
              <w:rPr>
                <w:rFonts w:eastAsiaTheme="minorHAnsi"/>
              </w:rPr>
              <w:t>October Peak Day</w:t>
            </w:r>
          </w:p>
        </w:tc>
        <w:tc>
          <w:tcPr>
            <w:tcW w:w="316" w:type="pct"/>
            <w:tcBorders>
              <w:top w:val="single" w:sz="8"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69.5</w:t>
            </w:r>
          </w:p>
        </w:tc>
        <w:tc>
          <w:tcPr>
            <w:tcW w:w="363" w:type="pct"/>
            <w:tcBorders>
              <w:top w:val="single" w:sz="8"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color w:val="000000"/>
                <w:szCs w:val="20"/>
              </w:rPr>
              <w:t>75.6</w:t>
            </w:r>
          </w:p>
        </w:tc>
        <w:tc>
          <w:tcPr>
            <w:tcW w:w="338" w:type="pct"/>
            <w:tcBorders>
              <w:top w:val="single" w:sz="8"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69.4</w:t>
            </w:r>
          </w:p>
        </w:tc>
        <w:tc>
          <w:tcPr>
            <w:tcW w:w="362" w:type="pct"/>
            <w:tcBorders>
              <w:top w:val="single" w:sz="8"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rPr>
            </w:pPr>
            <w:r>
              <w:rPr>
                <w:color w:val="000000"/>
                <w:szCs w:val="20"/>
              </w:rPr>
              <w:t>72.9</w:t>
            </w:r>
          </w:p>
        </w:tc>
        <w:tc>
          <w:tcPr>
            <w:tcW w:w="315" w:type="pct"/>
            <w:tcBorders>
              <w:top w:val="single" w:sz="8"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74.9</w:t>
            </w:r>
          </w:p>
        </w:tc>
        <w:tc>
          <w:tcPr>
            <w:tcW w:w="338" w:type="pct"/>
            <w:tcBorders>
              <w:top w:val="single" w:sz="8"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77.5</w:t>
            </w:r>
          </w:p>
        </w:tc>
        <w:tc>
          <w:tcPr>
            <w:tcW w:w="337" w:type="pct"/>
            <w:tcBorders>
              <w:top w:val="single" w:sz="8"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71.0</w:t>
            </w:r>
          </w:p>
        </w:tc>
        <w:tc>
          <w:tcPr>
            <w:tcW w:w="336" w:type="pct"/>
            <w:tcBorders>
              <w:top w:val="single" w:sz="8"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77.6</w:t>
            </w:r>
          </w:p>
        </w:tc>
        <w:tc>
          <w:tcPr>
            <w:tcW w:w="336" w:type="pct"/>
            <w:tcBorders>
              <w:top w:val="single" w:sz="8"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70.8</w:t>
            </w:r>
          </w:p>
        </w:tc>
        <w:tc>
          <w:tcPr>
            <w:tcW w:w="337" w:type="pct"/>
            <w:tcBorders>
              <w:top w:val="single" w:sz="8"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76.0</w:t>
            </w:r>
          </w:p>
        </w:tc>
        <w:tc>
          <w:tcPr>
            <w:tcW w:w="336" w:type="pct"/>
            <w:tcBorders>
              <w:top w:val="single" w:sz="8"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68.3</w:t>
            </w:r>
          </w:p>
        </w:tc>
        <w:tc>
          <w:tcPr>
            <w:tcW w:w="333" w:type="pct"/>
            <w:tcBorders>
              <w:top w:val="single" w:sz="8" w:space="0" w:color="auto"/>
              <w:left w:val="single" w:sz="6" w:space="0" w:color="auto"/>
              <w:bottom w:val="single" w:sz="6"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74.8</w:t>
            </w:r>
          </w:p>
        </w:tc>
      </w:tr>
      <w:tr w:rsidR="00941CD5" w:rsidRPr="002425CD" w:rsidTr="00941CD5">
        <w:trPr>
          <w:trHeight w:val="315"/>
          <w:jc w:val="center"/>
        </w:trPr>
        <w:tc>
          <w:tcPr>
            <w:tcW w:w="953" w:type="pct"/>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November Peak Day</w:t>
            </w:r>
          </w:p>
        </w:tc>
        <w:tc>
          <w:tcPr>
            <w:tcW w:w="316" w:type="pct"/>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51.4</w:t>
            </w:r>
          </w:p>
        </w:tc>
        <w:tc>
          <w:tcPr>
            <w:tcW w:w="363" w:type="pct"/>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55.5</w:t>
            </w:r>
          </w:p>
        </w:tc>
        <w:tc>
          <w:tcPr>
            <w:tcW w:w="338" w:type="pct"/>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57.5</w:t>
            </w:r>
          </w:p>
        </w:tc>
        <w:tc>
          <w:tcPr>
            <w:tcW w:w="362" w:type="pct"/>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59.7</w:t>
            </w:r>
          </w:p>
        </w:tc>
        <w:tc>
          <w:tcPr>
            <w:tcW w:w="315" w:type="pct"/>
            <w:tcBorders>
              <w:top w:val="single" w:sz="6"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65.8</w:t>
            </w:r>
          </w:p>
        </w:tc>
        <w:tc>
          <w:tcPr>
            <w:tcW w:w="338" w:type="pct"/>
            <w:tcBorders>
              <w:top w:val="single" w:sz="6"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73.7</w:t>
            </w:r>
          </w:p>
        </w:tc>
        <w:tc>
          <w:tcPr>
            <w:tcW w:w="337" w:type="pct"/>
            <w:tcBorders>
              <w:top w:val="single" w:sz="6"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63.4</w:t>
            </w:r>
          </w:p>
        </w:tc>
        <w:tc>
          <w:tcPr>
            <w:tcW w:w="336" w:type="pct"/>
            <w:tcBorders>
              <w:top w:val="single" w:sz="6" w:space="0" w:color="auto"/>
              <w:left w:val="single" w:sz="6" w:space="0" w:color="auto"/>
              <w:bottom w:val="single" w:sz="6"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67.5</w:t>
            </w:r>
          </w:p>
        </w:tc>
        <w:tc>
          <w:tcPr>
            <w:tcW w:w="336" w:type="pct"/>
            <w:tcBorders>
              <w:top w:val="single" w:sz="6"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64.2</w:t>
            </w:r>
          </w:p>
        </w:tc>
        <w:tc>
          <w:tcPr>
            <w:tcW w:w="337" w:type="pct"/>
            <w:tcBorders>
              <w:top w:val="single" w:sz="6"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72.6</w:t>
            </w:r>
          </w:p>
        </w:tc>
        <w:tc>
          <w:tcPr>
            <w:tcW w:w="336" w:type="pct"/>
            <w:tcBorders>
              <w:top w:val="single" w:sz="6" w:space="0" w:color="auto"/>
              <w:left w:val="single" w:sz="6" w:space="0" w:color="auto"/>
              <w:bottom w:val="single" w:sz="6"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63.0</w:t>
            </w:r>
          </w:p>
        </w:tc>
        <w:tc>
          <w:tcPr>
            <w:tcW w:w="333" w:type="pct"/>
            <w:tcBorders>
              <w:top w:val="single" w:sz="6" w:space="0" w:color="auto"/>
              <w:left w:val="single" w:sz="6" w:space="0" w:color="auto"/>
              <w:bottom w:val="single" w:sz="6"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69.7</w:t>
            </w:r>
          </w:p>
        </w:tc>
      </w:tr>
      <w:tr w:rsidR="00941CD5" w:rsidRPr="002425CD" w:rsidTr="00941CD5">
        <w:trPr>
          <w:trHeight w:val="315"/>
          <w:jc w:val="center"/>
        </w:trPr>
        <w:tc>
          <w:tcPr>
            <w:tcW w:w="953" w:type="pct"/>
            <w:tcBorders>
              <w:top w:val="single" w:sz="6" w:space="0" w:color="auto"/>
              <w:left w:val="single" w:sz="8" w:space="0" w:color="auto"/>
              <w:bottom w:val="single" w:sz="8"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rPr>
            </w:pPr>
            <w:r>
              <w:rPr>
                <w:rFonts w:eastAsiaTheme="minorHAnsi"/>
              </w:rPr>
              <w:t>December Peak Day</w:t>
            </w:r>
          </w:p>
        </w:tc>
        <w:tc>
          <w:tcPr>
            <w:tcW w:w="316" w:type="pct"/>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44.2</w:t>
            </w:r>
          </w:p>
        </w:tc>
        <w:tc>
          <w:tcPr>
            <w:tcW w:w="363" w:type="pct"/>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40.1</w:t>
            </w:r>
          </w:p>
        </w:tc>
        <w:tc>
          <w:tcPr>
            <w:tcW w:w="338" w:type="pct"/>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49.3</w:t>
            </w:r>
          </w:p>
        </w:tc>
        <w:tc>
          <w:tcPr>
            <w:tcW w:w="362" w:type="pct"/>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rsidR="00941CD5" w:rsidRPr="002425CD" w:rsidRDefault="00941CD5" w:rsidP="00E01137">
            <w:pPr>
              <w:pStyle w:val="TableText"/>
              <w:rPr>
                <w:rFonts w:eastAsiaTheme="minorHAnsi"/>
                <w:color w:val="000000"/>
                <w:szCs w:val="20"/>
              </w:rPr>
            </w:pPr>
            <w:r>
              <w:rPr>
                <w:color w:val="000000"/>
                <w:szCs w:val="20"/>
              </w:rPr>
              <w:t>43.1</w:t>
            </w:r>
          </w:p>
        </w:tc>
        <w:tc>
          <w:tcPr>
            <w:tcW w:w="315" w:type="pct"/>
            <w:tcBorders>
              <w:top w:val="single" w:sz="6" w:space="0" w:color="auto"/>
              <w:left w:val="single" w:sz="6" w:space="0" w:color="auto"/>
              <w:bottom w:val="single" w:sz="8"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48.3</w:t>
            </w:r>
          </w:p>
        </w:tc>
        <w:tc>
          <w:tcPr>
            <w:tcW w:w="338" w:type="pct"/>
            <w:tcBorders>
              <w:top w:val="single" w:sz="6" w:space="0" w:color="auto"/>
              <w:left w:val="single" w:sz="6" w:space="0" w:color="auto"/>
              <w:bottom w:val="single" w:sz="8"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47.6</w:t>
            </w:r>
          </w:p>
        </w:tc>
        <w:tc>
          <w:tcPr>
            <w:tcW w:w="337" w:type="pct"/>
            <w:tcBorders>
              <w:top w:val="single" w:sz="6" w:space="0" w:color="auto"/>
              <w:left w:val="single" w:sz="6" w:space="0" w:color="auto"/>
              <w:bottom w:val="single" w:sz="8"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53.2</w:t>
            </w:r>
          </w:p>
        </w:tc>
        <w:tc>
          <w:tcPr>
            <w:tcW w:w="336" w:type="pct"/>
            <w:tcBorders>
              <w:top w:val="single" w:sz="6" w:space="0" w:color="auto"/>
              <w:left w:val="single" w:sz="6" w:space="0" w:color="auto"/>
              <w:bottom w:val="single" w:sz="8" w:space="0" w:color="auto"/>
              <w:right w:val="single" w:sz="6" w:space="0" w:color="auto"/>
            </w:tcBorders>
            <w:vAlign w:val="center"/>
          </w:tcPr>
          <w:p w:rsidR="00941CD5" w:rsidRDefault="00941CD5" w:rsidP="00941CD5">
            <w:pPr>
              <w:spacing w:before="60" w:after="60"/>
              <w:jc w:val="center"/>
              <w:rPr>
                <w:rFonts w:ascii="Arial" w:hAnsi="Arial" w:cs="Arial"/>
                <w:color w:val="000000"/>
                <w:sz w:val="20"/>
                <w:szCs w:val="20"/>
              </w:rPr>
            </w:pPr>
            <w:r>
              <w:rPr>
                <w:rFonts w:ascii="Arial" w:hAnsi="Arial" w:cs="Arial"/>
                <w:color w:val="000000"/>
                <w:sz w:val="20"/>
                <w:szCs w:val="20"/>
              </w:rPr>
              <w:t>46.0</w:t>
            </w:r>
          </w:p>
        </w:tc>
        <w:tc>
          <w:tcPr>
            <w:tcW w:w="336" w:type="pct"/>
            <w:tcBorders>
              <w:top w:val="single" w:sz="6" w:space="0" w:color="auto"/>
              <w:left w:val="single" w:sz="6" w:space="0" w:color="auto"/>
              <w:bottom w:val="single" w:sz="8"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55.5</w:t>
            </w:r>
          </w:p>
        </w:tc>
        <w:tc>
          <w:tcPr>
            <w:tcW w:w="337" w:type="pct"/>
            <w:tcBorders>
              <w:top w:val="single" w:sz="6" w:space="0" w:color="auto"/>
              <w:left w:val="single" w:sz="6" w:space="0" w:color="auto"/>
              <w:bottom w:val="single" w:sz="8"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51.0</w:t>
            </w:r>
          </w:p>
        </w:tc>
        <w:tc>
          <w:tcPr>
            <w:tcW w:w="336" w:type="pct"/>
            <w:tcBorders>
              <w:top w:val="single" w:sz="6" w:space="0" w:color="auto"/>
              <w:left w:val="single" w:sz="6" w:space="0" w:color="auto"/>
              <w:bottom w:val="single" w:sz="8" w:space="0" w:color="auto"/>
              <w:right w:val="single" w:sz="6"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56.8</w:t>
            </w:r>
          </w:p>
        </w:tc>
        <w:tc>
          <w:tcPr>
            <w:tcW w:w="333" w:type="pct"/>
            <w:tcBorders>
              <w:top w:val="single" w:sz="6" w:space="0" w:color="auto"/>
              <w:left w:val="single" w:sz="6" w:space="0" w:color="auto"/>
              <w:bottom w:val="single" w:sz="8" w:space="0" w:color="auto"/>
              <w:right w:val="single" w:sz="8" w:space="0" w:color="auto"/>
            </w:tcBorders>
            <w:vAlign w:val="center"/>
          </w:tcPr>
          <w:p w:rsidR="00941CD5" w:rsidRPr="002425CD" w:rsidRDefault="00941CD5" w:rsidP="00E01137">
            <w:pPr>
              <w:pStyle w:val="TableText"/>
              <w:rPr>
                <w:rFonts w:eastAsiaTheme="minorHAnsi"/>
                <w:color w:val="000000"/>
                <w:szCs w:val="20"/>
              </w:rPr>
            </w:pPr>
            <w:r>
              <w:rPr>
                <w:color w:val="000000"/>
                <w:szCs w:val="20"/>
              </w:rPr>
              <w:t>51.0</w:t>
            </w:r>
          </w:p>
        </w:tc>
      </w:tr>
    </w:tbl>
    <w:p w:rsidR="006A7080" w:rsidRDefault="006A7080" w:rsidP="006A7080">
      <w:pPr>
        <w:pStyle w:val="BodyParagraph"/>
        <w:sectPr w:rsidR="006A7080" w:rsidSect="003B398F">
          <w:footerReference w:type="default" r:id="rId44"/>
          <w:pgSz w:w="15840" w:h="12240" w:orient="landscape"/>
          <w:pgMar w:top="1440" w:right="1440" w:bottom="1440" w:left="1440" w:header="720" w:footer="720" w:gutter="0"/>
          <w:cols w:space="720"/>
          <w:docGrid w:linePitch="360"/>
        </w:sectPr>
      </w:pPr>
    </w:p>
    <w:p w:rsidR="006A7080" w:rsidRDefault="006A7080" w:rsidP="006A7080">
      <w:pPr>
        <w:pStyle w:val="Heading1"/>
        <w:ind w:left="432" w:hanging="432"/>
      </w:pPr>
      <w:bookmarkStart w:id="92" w:name="_Toc412650589"/>
      <w:bookmarkStart w:id="93" w:name="_Toc415494762"/>
      <w:bookmarkStart w:id="94" w:name="_Toc352323637"/>
      <w:bookmarkEnd w:id="68"/>
      <w:r>
        <w:lastRenderedPageBreak/>
        <w:t>PG&amp;E Ex Post Load Impacts</w:t>
      </w:r>
      <w:bookmarkEnd w:id="92"/>
      <w:bookmarkEnd w:id="93"/>
    </w:p>
    <w:p w:rsidR="006A7080" w:rsidRDefault="006A7080" w:rsidP="006A7080">
      <w:pPr>
        <w:pStyle w:val="BodyParagraph"/>
      </w:pPr>
      <w:r>
        <w:t>This section summarizes the ex post load impact estimates for customers on PG&amp;E’s CPP tariff</w:t>
      </w:r>
      <w:proofErr w:type="gramStart"/>
      <w:r>
        <w:t xml:space="preserve">.  </w:t>
      </w:r>
      <w:proofErr w:type="gramEnd"/>
      <w:r>
        <w:t>PG&amp;E called 10 CPP events in 2014</w:t>
      </w:r>
      <w:proofErr w:type="gramStart"/>
      <w:r>
        <w:t xml:space="preserve">.  </w:t>
      </w:r>
      <w:proofErr w:type="gramEnd"/>
      <w:r>
        <w:t xml:space="preserve">The first event occurred </w:t>
      </w:r>
      <w:r w:rsidR="0000272E">
        <w:t xml:space="preserve">on </w:t>
      </w:r>
      <w:r>
        <w:t xml:space="preserve">June 9 and the last was held </w:t>
      </w:r>
      <w:r w:rsidR="0000272E">
        <w:t xml:space="preserve">on </w:t>
      </w:r>
      <w:r>
        <w:t>September 12</w:t>
      </w:r>
      <w:proofErr w:type="gramStart"/>
      <w:r>
        <w:t xml:space="preserve">.  </w:t>
      </w:r>
      <w:proofErr w:type="gramEnd"/>
      <w:r>
        <w:t>The average number of default CPP customers participating in the 10 events was 1,815</w:t>
      </w:r>
      <w:proofErr w:type="gramStart"/>
      <w:r>
        <w:t xml:space="preserve">.  </w:t>
      </w:r>
      <w:proofErr w:type="gramEnd"/>
      <w:r w:rsidRPr="00BD7C8E">
        <w:t xml:space="preserve">There </w:t>
      </w:r>
      <w:r w:rsidR="005618D0">
        <w:t>wa</w:t>
      </w:r>
      <w:r w:rsidRPr="00BD7C8E">
        <w:t xml:space="preserve">s </w:t>
      </w:r>
      <w:r w:rsidR="0000272E">
        <w:t>some</w:t>
      </w:r>
      <w:r w:rsidR="005618D0">
        <w:t xml:space="preserve"> </w:t>
      </w:r>
      <w:r>
        <w:t xml:space="preserve">very slight </w:t>
      </w:r>
      <w:r w:rsidRPr="00BD7C8E">
        <w:t xml:space="preserve">variation in the number of </w:t>
      </w:r>
      <w:r>
        <w:t>default CPP</w:t>
      </w:r>
      <w:r w:rsidRPr="00BD7C8E">
        <w:t xml:space="preserve"> customers </w:t>
      </w:r>
      <w:r>
        <w:t xml:space="preserve">participating in each event </w:t>
      </w:r>
      <w:r w:rsidRPr="00BD7C8E">
        <w:t>due to customer churn; some customers departed and others en</w:t>
      </w:r>
      <w:r>
        <w:t>rolled in CPP during summer 2014</w:t>
      </w:r>
      <w:proofErr w:type="gramStart"/>
      <w:r>
        <w:t xml:space="preserve">.  </w:t>
      </w:r>
      <w:proofErr w:type="gramEnd"/>
      <w:r>
        <w:t>The highest 2014 enrollment, 1,819</w:t>
      </w:r>
      <w:r w:rsidRPr="00BD7C8E">
        <w:t xml:space="preserve"> custom</w:t>
      </w:r>
      <w:r>
        <w:t>ers, occurred on the July 14</w:t>
      </w:r>
      <w:r w:rsidRPr="00BD7C8E">
        <w:t xml:space="preserve"> event</w:t>
      </w:r>
      <w:proofErr w:type="gramStart"/>
      <w:r w:rsidRPr="00BD7C8E">
        <w:t xml:space="preserve">.  </w:t>
      </w:r>
      <w:proofErr w:type="gramEnd"/>
      <w:r w:rsidRPr="00BD7C8E">
        <w:t>The lowest enrollment, 1</w:t>
      </w:r>
      <w:r>
        <w:t>,807</w:t>
      </w:r>
      <w:r w:rsidRPr="00BD7C8E">
        <w:t xml:space="preserve"> customers, occurred on the first event.</w:t>
      </w:r>
    </w:p>
    <w:p w:rsidR="006A7080" w:rsidRDefault="006A7080" w:rsidP="006A7080">
      <w:pPr>
        <w:pStyle w:val="BodyParagraph"/>
      </w:pPr>
      <w:r>
        <w:t>The load impacts described in this report pertain primarily to customers subject to the CPP rate</w:t>
      </w:r>
      <w:r w:rsidR="004C74AD">
        <w:t> </w:t>
      </w:r>
      <w:r>
        <w:t>on a default basis, including customers enrolled in the legacy voluntary CPP program prior to the default in 2010 or who were defaulted to CPP and remained on CPP even though their load dropped below 200 kW</w:t>
      </w:r>
      <w:proofErr w:type="gramStart"/>
      <w:r>
        <w:t xml:space="preserve">.  </w:t>
      </w:r>
      <w:proofErr w:type="gramEnd"/>
      <w:r>
        <w:t>This group of customers taking CPP in 2014 is referred to as the default CPP population in this report.</w:t>
      </w:r>
    </w:p>
    <w:p w:rsidR="006A7080" w:rsidRDefault="006A7080" w:rsidP="006A7080">
      <w:pPr>
        <w:pStyle w:val="BodyParagraph"/>
      </w:pPr>
      <w:r>
        <w:t>Nexant also estimated ex post load impacts</w:t>
      </w:r>
      <w:r w:rsidR="00B543FE">
        <w:t xml:space="preserve"> for </w:t>
      </w:r>
      <w:r>
        <w:t>SMB customers who enrolled in CPP on a voluntary basis through PG&amp;E’s EEP</w:t>
      </w:r>
      <w:proofErr w:type="gramStart"/>
      <w:r>
        <w:t xml:space="preserve">.  </w:t>
      </w:r>
      <w:proofErr w:type="gramEnd"/>
      <w:r>
        <w:t>This group of customers is referred to as the EEP CPP population</w:t>
      </w:r>
      <w:proofErr w:type="gramStart"/>
      <w:r>
        <w:t xml:space="preserve">.  </w:t>
      </w:r>
      <w:proofErr w:type="gramEnd"/>
      <w:r>
        <w:t xml:space="preserve">The EEP targeted SMB customers who were due to be defaulted onto </w:t>
      </w:r>
      <w:r w:rsidR="00B543FE">
        <w:t>PG&amp;E’s CPP tariff in November</w:t>
      </w:r>
      <w:r>
        <w:t xml:space="preserve"> 201</w:t>
      </w:r>
      <w:r w:rsidR="00B543FE">
        <w:t>4</w:t>
      </w:r>
      <w:proofErr w:type="gramStart"/>
      <w:r>
        <w:t xml:space="preserve">.  </w:t>
      </w:r>
      <w:proofErr w:type="gramEnd"/>
      <w:r>
        <w:t>Two waves of customers were recruited: one through email outreach at the end of 201</w:t>
      </w:r>
      <w:r w:rsidR="00B543FE">
        <w:t>3</w:t>
      </w:r>
      <w:r w:rsidR="005618D0">
        <w:t>;</w:t>
      </w:r>
      <w:r>
        <w:t xml:space="preserve"> and the other through direct mail early in 201</w:t>
      </w:r>
      <w:r w:rsidR="00B543FE">
        <w:t>4</w:t>
      </w:r>
      <w:proofErr w:type="gramStart"/>
      <w:r>
        <w:t xml:space="preserve">.  </w:t>
      </w:r>
      <w:proofErr w:type="gramEnd"/>
      <w:r>
        <w:t>This yielded an average of 4,760 EEP CPP customers participating in the 10 PG&amp;E CPP events</w:t>
      </w:r>
      <w:proofErr w:type="gramStart"/>
      <w:r>
        <w:t xml:space="preserve">.  </w:t>
      </w:r>
      <w:proofErr w:type="gramEnd"/>
      <w:r>
        <w:t xml:space="preserve">About half of the participants were recruited through the first wave, which received a package of in-season support services provided by </w:t>
      </w:r>
      <w:proofErr w:type="spellStart"/>
      <w:r>
        <w:t>Gridium</w:t>
      </w:r>
      <w:proofErr w:type="spellEnd"/>
      <w:r>
        <w:t>, as</w:t>
      </w:r>
      <w:r w:rsidR="004C74AD">
        <w:t> </w:t>
      </w:r>
      <w:r>
        <w:t>described in Section 2</w:t>
      </w:r>
      <w:proofErr w:type="gramStart"/>
      <w:r>
        <w:t xml:space="preserve">.  </w:t>
      </w:r>
      <w:proofErr w:type="gramEnd"/>
      <w:r>
        <w:t>Load impacts for EEP CPP customers are presented at the end of this section.</w:t>
      </w:r>
    </w:p>
    <w:p w:rsidR="006A7080" w:rsidRDefault="006A7080" w:rsidP="006A7080">
      <w:pPr>
        <w:pStyle w:val="BodyParagraph"/>
      </w:pPr>
      <w:r>
        <w:t>There is also another group of SMB customers who were on the CPP rate in 2014, namely those who enrolled on CPP on a purely voluntary basis</w:t>
      </w:r>
      <w:proofErr w:type="gramStart"/>
      <w:r>
        <w:t xml:space="preserve">.  </w:t>
      </w:r>
      <w:proofErr w:type="gramEnd"/>
      <w:r>
        <w:t>This group of customers is referred to</w:t>
      </w:r>
      <w:r w:rsidR="004C74AD">
        <w:t> </w:t>
      </w:r>
      <w:r>
        <w:t>as opt-in CPP customers</w:t>
      </w:r>
      <w:proofErr w:type="gramStart"/>
      <w:r>
        <w:t xml:space="preserve">.  </w:t>
      </w:r>
      <w:proofErr w:type="gramEnd"/>
      <w:r>
        <w:t xml:space="preserve">In 2014, there were 4,715 opt-in customers and the great majority of these service accounts are associated with a single business entity </w:t>
      </w:r>
      <w:r w:rsidR="005618D0">
        <w:t xml:space="preserve">that </w:t>
      </w:r>
      <w:r>
        <w:t>d</w:t>
      </w:r>
      <w:r w:rsidR="005618D0">
        <w:t>id</w:t>
      </w:r>
      <w:r>
        <w:t xml:space="preserve"> not respond on event days</w:t>
      </w:r>
      <w:proofErr w:type="gramStart"/>
      <w:r>
        <w:t xml:space="preserve">.  </w:t>
      </w:r>
      <w:proofErr w:type="gramEnd"/>
      <w:r>
        <w:t xml:space="preserve">These opt-in CPP participants are not included in this section or used for modeling in the </w:t>
      </w:r>
      <w:proofErr w:type="spellStart"/>
      <w:r>
        <w:t>ex ante</w:t>
      </w:r>
      <w:proofErr w:type="spellEnd"/>
      <w:r>
        <w:t xml:space="preserve"> analysis because they are not representative of the SMB population that will default onto CPP in coming years</w:t>
      </w:r>
      <w:proofErr w:type="gramStart"/>
      <w:r>
        <w:t xml:space="preserve">.  </w:t>
      </w:r>
      <w:proofErr w:type="gramEnd"/>
      <w:r>
        <w:t>Load impacts for these customers are presented in the PG&amp;E electronic ex post load impact table generator; but it is important to remember that their load impacts do not reflect what would be expected from the SMB customer class in the future under default CPP.</w:t>
      </w:r>
    </w:p>
    <w:p w:rsidR="006A7080" w:rsidRDefault="006A7080" w:rsidP="006A7080">
      <w:pPr>
        <w:pStyle w:val="BodyParagraph"/>
      </w:pPr>
      <w:r>
        <w:t>Table 4-1 shows the ex post load impact estimates for each event day and for the average event day in 2014</w:t>
      </w:r>
      <w:proofErr w:type="gramStart"/>
      <w:r>
        <w:t xml:space="preserve">.  </w:t>
      </w:r>
      <w:proofErr w:type="gramEnd"/>
      <w:r>
        <w:t>The participant-weighted average temperature during the event period ranged from a low of 84.0</w:t>
      </w:r>
      <w:r>
        <w:rPr>
          <w:rFonts w:cs="Arial"/>
        </w:rPr>
        <w:t>°</w:t>
      </w:r>
      <w:r>
        <w:t>F to a high of 93.9</w:t>
      </w:r>
      <w:r>
        <w:rPr>
          <w:rFonts w:cs="Arial"/>
        </w:rPr>
        <w:t>°</w:t>
      </w:r>
      <w:r>
        <w:t>F</w:t>
      </w:r>
      <w:proofErr w:type="gramStart"/>
      <w:r>
        <w:t xml:space="preserve">.  </w:t>
      </w:r>
      <w:proofErr w:type="gramEnd"/>
      <w:r>
        <w:t>Percent impacts range from 6.0% to 10.1%; average impacts range from 15.9 kW to 28.2 kW; and aggregate impacts range from 29.0 MW to 51.3 MW</w:t>
      </w:r>
      <w:proofErr w:type="gramStart"/>
      <w:r>
        <w:t xml:space="preserve">.  </w:t>
      </w:r>
      <w:proofErr w:type="gramEnd"/>
      <w:r>
        <w:t>On the average event day, the average participant reduced peak period load by 8.1%</w:t>
      </w:r>
      <w:proofErr w:type="gramStart"/>
      <w:r>
        <w:t xml:space="preserve">.  </w:t>
      </w:r>
      <w:proofErr w:type="gramEnd"/>
      <w:r>
        <w:t>In aggregate, PG&amp;E’s CPP customers reduced load by an average of 41.0 MW across the 10 event days in 2014.</w:t>
      </w:r>
    </w:p>
    <w:p w:rsidR="006A7080" w:rsidRPr="00E01137" w:rsidRDefault="006A7080" w:rsidP="00E01137">
      <w:pPr>
        <w:pStyle w:val="TableFigureCaption"/>
      </w:pPr>
      <w:r w:rsidRPr="00E01137">
        <w:lastRenderedPageBreak/>
        <w:t>Table 4-1: Default CPP Ex Post Load Impact Estimates by Event Day</w:t>
      </w:r>
      <w:r w:rsidRPr="00E01137">
        <w:br/>
        <w:t>PG&amp;E 2014 CPP Events (2</w:t>
      </w:r>
      <w:r w:rsidR="005618D0">
        <w:t xml:space="preserve"> to </w:t>
      </w:r>
      <w:r w:rsidRPr="00E01137">
        <w:t>6 PM)</w:t>
      </w:r>
    </w:p>
    <w:tbl>
      <w:tblPr>
        <w:tblW w:w="10537" w:type="dxa"/>
        <w:jc w:val="center"/>
        <w:tblInd w:w="93" w:type="dxa"/>
        <w:tblLook w:val="04A0" w:firstRow="1" w:lastRow="0" w:firstColumn="1" w:lastColumn="0" w:noHBand="0" w:noVBand="1"/>
      </w:tblPr>
      <w:tblGrid>
        <w:gridCol w:w="1017"/>
        <w:gridCol w:w="747"/>
        <w:gridCol w:w="1037"/>
        <w:gridCol w:w="1596"/>
        <w:gridCol w:w="1232"/>
        <w:gridCol w:w="797"/>
        <w:gridCol w:w="1107"/>
        <w:gridCol w:w="1096"/>
        <w:gridCol w:w="960"/>
        <w:gridCol w:w="960"/>
      </w:tblGrid>
      <w:tr w:rsidR="006A7080" w:rsidRPr="00350AC0" w:rsidTr="005618D0">
        <w:trPr>
          <w:trHeight w:val="629"/>
          <w:jc w:val="center"/>
        </w:trPr>
        <w:tc>
          <w:tcPr>
            <w:tcW w:w="1017"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Event Date</w:t>
            </w:r>
          </w:p>
        </w:tc>
        <w:tc>
          <w:tcPr>
            <w:tcW w:w="74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Accounts</w:t>
            </w:r>
          </w:p>
        </w:tc>
        <w:tc>
          <w:tcPr>
            <w:tcW w:w="1596"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Avg. Customer Reference Load</w:t>
            </w:r>
          </w:p>
        </w:tc>
        <w:tc>
          <w:tcPr>
            <w:tcW w:w="1232"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Avg. Customer Load w/ DR</w:t>
            </w:r>
          </w:p>
        </w:tc>
        <w:tc>
          <w:tcPr>
            <w:tcW w:w="785"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Impact</w:t>
            </w:r>
          </w:p>
        </w:tc>
        <w:tc>
          <w:tcPr>
            <w:tcW w:w="1107"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Aggregate Impact</w:t>
            </w:r>
          </w:p>
        </w:tc>
        <w:tc>
          <w:tcPr>
            <w:tcW w:w="1096"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 Reduction</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Avg. Event Temp.</w:t>
            </w:r>
          </w:p>
        </w:tc>
        <w:tc>
          <w:tcPr>
            <w:tcW w:w="960" w:type="dxa"/>
            <w:tcBorders>
              <w:top w:val="single" w:sz="4" w:space="0" w:color="auto"/>
              <w:left w:val="nil"/>
              <w:bottom w:val="single" w:sz="4" w:space="0" w:color="FFFFFF"/>
              <w:right w:val="single" w:sz="4" w:space="0" w:color="auto"/>
            </w:tcBorders>
            <w:shd w:val="clear" w:color="auto" w:fill="0070CD"/>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Daily Max. Temp.</w:t>
            </w:r>
          </w:p>
        </w:tc>
      </w:tr>
      <w:tr w:rsidR="006A7080" w:rsidRPr="00350AC0" w:rsidTr="005618D0">
        <w:trPr>
          <w:trHeight w:val="300"/>
          <w:jc w:val="center"/>
        </w:trPr>
        <w:tc>
          <w:tcPr>
            <w:tcW w:w="1017"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p>
        </w:tc>
        <w:tc>
          <w:tcPr>
            <w:tcW w:w="74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p>
        </w:tc>
        <w:tc>
          <w:tcPr>
            <w:tcW w:w="10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E01137">
            <w:pPr>
              <w:pStyle w:val="TableHeader"/>
              <w:rPr>
                <w:rFonts w:eastAsia="Times New Roman"/>
                <w:sz w:val="18"/>
                <w:szCs w:val="18"/>
              </w:rPr>
            </w:pPr>
          </w:p>
        </w:tc>
        <w:tc>
          <w:tcPr>
            <w:tcW w:w="1596"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(kW)</w:t>
            </w:r>
          </w:p>
        </w:tc>
        <w:tc>
          <w:tcPr>
            <w:tcW w:w="1232"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(kW)</w:t>
            </w:r>
          </w:p>
        </w:tc>
        <w:tc>
          <w:tcPr>
            <w:tcW w:w="785"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(kW)</w:t>
            </w:r>
          </w:p>
        </w:tc>
        <w:tc>
          <w:tcPr>
            <w:tcW w:w="1107"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(MW)</w:t>
            </w:r>
          </w:p>
        </w:tc>
        <w:tc>
          <w:tcPr>
            <w:tcW w:w="1096"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w:t>
            </w:r>
          </w:p>
        </w:tc>
        <w:tc>
          <w:tcPr>
            <w:tcW w:w="960"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(°F)</w:t>
            </w:r>
          </w:p>
        </w:tc>
        <w:tc>
          <w:tcPr>
            <w:tcW w:w="960" w:type="dxa"/>
            <w:tcBorders>
              <w:top w:val="nil"/>
              <w:left w:val="nil"/>
              <w:bottom w:val="single" w:sz="4" w:space="0" w:color="auto"/>
              <w:right w:val="single" w:sz="4" w:space="0" w:color="auto"/>
            </w:tcBorders>
            <w:shd w:val="clear" w:color="auto" w:fill="0070CD"/>
            <w:noWrap/>
            <w:vAlign w:val="center"/>
            <w:hideMark/>
          </w:tcPr>
          <w:p w:rsidR="006A7080" w:rsidRPr="008028DC" w:rsidRDefault="006A7080" w:rsidP="00E01137">
            <w:pPr>
              <w:pStyle w:val="TableHeader"/>
              <w:rPr>
                <w:rFonts w:eastAsia="Times New Roman"/>
                <w:sz w:val="18"/>
                <w:szCs w:val="18"/>
              </w:rPr>
            </w:pPr>
            <w:r w:rsidRPr="008028DC">
              <w:rPr>
                <w:rFonts w:eastAsia="Times New Roman"/>
                <w:sz w:val="18"/>
                <w:szCs w:val="18"/>
              </w:rPr>
              <w:t>(°F)</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6/9/2014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1,807</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281.9</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260.8</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21.1</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38.2</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7.5%</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92.1</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108.5</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6/30/2014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1,815</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275.8</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254.8</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21.0</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38.0</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7.6%</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90.5</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105.0</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7/1/2014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1,817</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264.9</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249.0</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15.9</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29.0</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6.0%</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84.4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106.0</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7/7/2014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1,818</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265.5</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243.7</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21.8</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39.7</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8.2%</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84.0</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104.5</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7/14/2014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1,819</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275.4</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252.9</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22.5</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40.8</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8.2%</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86.5</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104.5</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7/25/2014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1,817</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282.1</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260.4</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21.7</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39.5</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7.7%</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93.9</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102.0</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7/28/2014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1,816</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279.0</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250.7</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28.2</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51.3</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10.1%</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85.5</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100.5</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7/29/2014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1,816</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281.5</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256.2</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25.2</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45.8</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9.0%</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89.1</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103.0</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7/31/2014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Thu</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1,817</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284.9</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258.3</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26.6</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48.3</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88.8</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106.5</w:t>
            </w:r>
          </w:p>
        </w:tc>
      </w:tr>
      <w:tr w:rsidR="006A7080" w:rsidRPr="00350AC0" w:rsidTr="005618D0">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9/12/2014</w:t>
            </w:r>
          </w:p>
        </w:tc>
        <w:tc>
          <w:tcPr>
            <w:tcW w:w="74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1,813</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289.4</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267.8</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21.6</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39.1</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7.5%</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89.4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sz w:val="18"/>
                <w:szCs w:val="18"/>
              </w:rPr>
            </w:pPr>
            <w:r w:rsidRPr="008028DC">
              <w:rPr>
                <w:rFonts w:eastAsia="Times New Roman"/>
                <w:sz w:val="18"/>
                <w:szCs w:val="18"/>
              </w:rPr>
              <w:t>102.0</w:t>
            </w:r>
          </w:p>
        </w:tc>
      </w:tr>
      <w:tr w:rsidR="006A7080" w:rsidRPr="00350AC0" w:rsidTr="005618D0">
        <w:trPr>
          <w:trHeight w:val="300"/>
          <w:jc w:val="center"/>
        </w:trPr>
        <w:tc>
          <w:tcPr>
            <w:tcW w:w="176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Avg. Event</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1,815</w:t>
            </w:r>
          </w:p>
        </w:tc>
        <w:tc>
          <w:tcPr>
            <w:tcW w:w="15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278.0</w:t>
            </w:r>
          </w:p>
        </w:tc>
        <w:tc>
          <w:tcPr>
            <w:tcW w:w="1232"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255.5</w:t>
            </w:r>
          </w:p>
        </w:tc>
        <w:tc>
          <w:tcPr>
            <w:tcW w:w="785"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22.6</w:t>
            </w:r>
          </w:p>
        </w:tc>
        <w:tc>
          <w:tcPr>
            <w:tcW w:w="110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41.0</w:t>
            </w:r>
          </w:p>
        </w:tc>
        <w:tc>
          <w:tcPr>
            <w:tcW w:w="109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8.1%</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88.4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E01137">
            <w:pPr>
              <w:pStyle w:val="TableText"/>
              <w:rPr>
                <w:rFonts w:eastAsia="Times New Roman"/>
                <w:b/>
                <w:bCs/>
                <w:color w:val="000000"/>
                <w:sz w:val="18"/>
                <w:szCs w:val="18"/>
              </w:rPr>
            </w:pPr>
            <w:r w:rsidRPr="008028DC">
              <w:rPr>
                <w:rFonts w:eastAsia="Times New Roman"/>
                <w:b/>
                <w:bCs/>
                <w:color w:val="000000"/>
                <w:sz w:val="18"/>
                <w:szCs w:val="18"/>
              </w:rPr>
              <w:t>102.0</w:t>
            </w:r>
          </w:p>
        </w:tc>
      </w:tr>
    </w:tbl>
    <w:p w:rsidR="006A7080" w:rsidRDefault="006A7080" w:rsidP="006A7080">
      <w:pPr>
        <w:pStyle w:val="BodyParaAfterTableFigure"/>
        <w:rPr>
          <w:rFonts w:ascii="Calibri" w:hAnsi="Calibri"/>
        </w:rPr>
      </w:pPr>
      <w:r w:rsidRPr="00211B4A">
        <w:t xml:space="preserve">Figure </w:t>
      </w:r>
      <w:r>
        <w:t xml:space="preserve">4-1 also presents the ex post </w:t>
      </w:r>
      <w:r w:rsidRPr="00211B4A">
        <w:t>load impact</w:t>
      </w:r>
      <w:r>
        <w:t xml:space="preserve"> estimates</w:t>
      </w:r>
      <w:r w:rsidRPr="00211B4A">
        <w:t xml:space="preserve"> for </w:t>
      </w:r>
      <w:r>
        <w:t xml:space="preserve">the 2014 </w:t>
      </w:r>
      <w:r w:rsidRPr="00211B4A">
        <w:t>CPP event days a</w:t>
      </w:r>
      <w:r>
        <w:t>nd</w:t>
      </w:r>
      <w:r w:rsidR="004C74AD">
        <w:t> </w:t>
      </w:r>
      <w:r>
        <w:t>the average 2014 event day</w:t>
      </w:r>
      <w:r w:rsidR="0000272E">
        <w:t>,</w:t>
      </w:r>
      <w:r>
        <w:t xml:space="preserve"> </w:t>
      </w:r>
      <w:r w:rsidRPr="00211B4A">
        <w:t>but here the 90% confidence intervals</w:t>
      </w:r>
      <w:r>
        <w:t xml:space="preserve"> are shown with the point estimates</w:t>
      </w:r>
      <w:proofErr w:type="gramStart"/>
      <w:r w:rsidRPr="00211B4A">
        <w:t xml:space="preserve">. </w:t>
      </w:r>
      <w:r>
        <w:t xml:space="preserve"> </w:t>
      </w:r>
      <w:proofErr w:type="gramEnd"/>
      <w:r w:rsidRPr="00211B4A">
        <w:t>The wider confidence bands around the individual event day estimates</w:t>
      </w:r>
      <w:r>
        <w:t>, in comparison</w:t>
      </w:r>
      <w:r w:rsidRPr="00211B4A">
        <w:t xml:space="preserve"> to the average event day</w:t>
      </w:r>
      <w:r>
        <w:t>,</w:t>
      </w:r>
      <w:r w:rsidRPr="00211B4A">
        <w:t xml:space="preserve"> illustrate the noise inherent in measuring load im</w:t>
      </w:r>
      <w:r>
        <w:t>pacts for</w:t>
      </w:r>
      <w:r w:rsidR="004C74AD">
        <w:t> </w:t>
      </w:r>
      <w:r>
        <w:t>individual event days</w:t>
      </w:r>
      <w:proofErr w:type="gramStart"/>
      <w:r>
        <w:t xml:space="preserve">.  </w:t>
      </w:r>
      <w:proofErr w:type="gramEnd"/>
      <w:r>
        <w:t>A</w:t>
      </w:r>
      <w:r w:rsidRPr="00211B4A">
        <w:t>verage event day load impact estimate</w:t>
      </w:r>
      <w:r>
        <w:t>s</w:t>
      </w:r>
      <w:r w:rsidRPr="00211B4A">
        <w:t xml:space="preserve"> </w:t>
      </w:r>
      <w:r>
        <w:t>are</w:t>
      </w:r>
      <w:r w:rsidRPr="00211B4A">
        <w:t xml:space="preserve"> more precise</w:t>
      </w:r>
      <w:r>
        <w:t>; individual day impacts are noisier.</w:t>
      </w:r>
    </w:p>
    <w:p w:rsidR="006A7080" w:rsidRDefault="006A7080" w:rsidP="006A7080">
      <w:pPr>
        <w:pStyle w:val="TableFigureCaption"/>
      </w:pPr>
      <w:r w:rsidRPr="00F92345">
        <w:lastRenderedPageBreak/>
        <w:t>Figure 4-1</w:t>
      </w:r>
      <w:r>
        <w:t>:</w:t>
      </w:r>
      <w:r w:rsidRPr="00F92345">
        <w:t xml:space="preserve"> </w:t>
      </w:r>
      <w:r>
        <w:t xml:space="preserve">Default CPP Ex Post Load Impact Estimates </w:t>
      </w:r>
      <w:r w:rsidRPr="00F92345">
        <w:t xml:space="preserve">with </w:t>
      </w:r>
      <w:r>
        <w:t xml:space="preserve">90% </w:t>
      </w:r>
      <w:r w:rsidRPr="00F92345">
        <w:t>Confidence Intervals</w:t>
      </w:r>
      <w:r>
        <w:t xml:space="preserve"> </w:t>
      </w:r>
      <w:r>
        <w:br/>
      </w:r>
      <w:r w:rsidRPr="00F92345">
        <w:t xml:space="preserve">PG&amp;E </w:t>
      </w:r>
      <w:r>
        <w:t xml:space="preserve">2014 </w:t>
      </w:r>
      <w:r w:rsidRPr="00F92345">
        <w:t>CPP Events</w:t>
      </w:r>
      <w:r>
        <w:t xml:space="preserve"> (2 to 6 PM)</w:t>
      </w:r>
    </w:p>
    <w:p w:rsidR="006A7080" w:rsidRDefault="006A7080" w:rsidP="006A7080">
      <w:pPr>
        <w:pStyle w:val="Footnote"/>
        <w:jc w:val="center"/>
      </w:pPr>
      <w:bookmarkStart w:id="95" w:name="_Toc352323631"/>
      <w:r>
        <w:rPr>
          <w:noProof/>
        </w:rPr>
        <w:drawing>
          <wp:inline distT="0" distB="0" distL="0" distR="0" wp14:anchorId="4E1AC951" wp14:editId="74AA0123">
            <wp:extent cx="5943600" cy="30048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3004820"/>
                    </a:xfrm>
                    <a:prstGeom prst="rect">
                      <a:avLst/>
                    </a:prstGeom>
                  </pic:spPr>
                </pic:pic>
              </a:graphicData>
            </a:graphic>
          </wp:inline>
        </w:drawing>
      </w:r>
    </w:p>
    <w:p w:rsidR="006A7080" w:rsidRDefault="006A7080" w:rsidP="006A7080">
      <w:pPr>
        <w:pStyle w:val="BodyParaAfterTableFigure"/>
      </w:pPr>
      <w:r w:rsidRPr="00211B4A">
        <w:t>The individual event day results are less precise because</w:t>
      </w:r>
      <w:r>
        <w:t xml:space="preserve"> of the lack of repeated observations</w:t>
      </w:r>
      <w:proofErr w:type="gramStart"/>
      <w:r>
        <w:t xml:space="preserve">.  </w:t>
      </w:r>
      <w:proofErr w:type="gramEnd"/>
      <w:r>
        <w:t>In general, smaller</w:t>
      </w:r>
      <w:r w:rsidRPr="00211B4A">
        <w:t xml:space="preserve"> percent demand reductions are harder to d</w:t>
      </w:r>
      <w:r>
        <w:t>istinguish</w:t>
      </w:r>
      <w:r w:rsidRPr="00211B4A">
        <w:t xml:space="preserve"> from the inherent day-to-day varia</w:t>
      </w:r>
      <w:r>
        <w:t>tion in loads that occur because of changes in occupancy, operational schedules or other unobservable factors</w:t>
      </w:r>
      <w:proofErr w:type="gramStart"/>
      <w:r w:rsidRPr="00211B4A">
        <w:t>.  </w:t>
      </w:r>
      <w:proofErr w:type="gramEnd"/>
      <w:r w:rsidRPr="00211B4A">
        <w:t xml:space="preserve">A large amount of the variation in load impact estimates </w:t>
      </w:r>
      <w:r>
        <w:t xml:space="preserve">across event days </w:t>
      </w:r>
      <w:r w:rsidRPr="00211B4A">
        <w:t>is unexplained noise</w:t>
      </w:r>
      <w:proofErr w:type="gramStart"/>
      <w:r w:rsidRPr="00211B4A">
        <w:t>.</w:t>
      </w:r>
      <w:r>
        <w:t xml:space="preserve">  </w:t>
      </w:r>
      <w:proofErr w:type="gramEnd"/>
      <w:r w:rsidRPr="00211B4A">
        <w:t>However,</w:t>
      </w:r>
      <w:r>
        <w:t xml:space="preserve"> </w:t>
      </w:r>
      <w:r w:rsidRPr="00211B4A">
        <w:t xml:space="preserve">load impacts </w:t>
      </w:r>
      <w:r>
        <w:t xml:space="preserve">of individual event days </w:t>
      </w:r>
      <w:r w:rsidRPr="00211B4A">
        <w:t xml:space="preserve">are </w:t>
      </w:r>
      <w:r>
        <w:t xml:space="preserve">not </w:t>
      </w:r>
      <w:r w:rsidRPr="00211B4A">
        <w:t>significantly different from the average event.</w:t>
      </w:r>
      <w:r>
        <w:t xml:space="preserve">  </w:t>
      </w:r>
    </w:p>
    <w:p w:rsidR="006A7080" w:rsidRPr="00B949E3" w:rsidRDefault="006A7080" w:rsidP="006A7080">
      <w:pPr>
        <w:pStyle w:val="Heading2"/>
        <w:ind w:left="576" w:hanging="576"/>
      </w:pPr>
      <w:bookmarkStart w:id="96" w:name="_Toc412650590"/>
      <w:bookmarkStart w:id="97" w:name="_Toc415494763"/>
      <w:r w:rsidRPr="0002103E">
        <w:t>Average</w:t>
      </w:r>
      <w:r w:rsidRPr="00B949E3">
        <w:t xml:space="preserve"> Event Day Impacts</w:t>
      </w:r>
      <w:bookmarkEnd w:id="95"/>
      <w:bookmarkEnd w:id="96"/>
      <w:bookmarkEnd w:id="97"/>
    </w:p>
    <w:p w:rsidR="006A7080" w:rsidRDefault="006A7080" w:rsidP="006A7080">
      <w:pPr>
        <w:pStyle w:val="BodyParagraph"/>
      </w:pPr>
      <w:r>
        <w:t>Figure 4-2</w:t>
      </w:r>
      <w:r w:rsidRPr="00B949E3">
        <w:t xml:space="preserve"> shows the aggregate hourly impacts for all PG&amp;E CPP customers</w:t>
      </w:r>
      <w:r>
        <w:t xml:space="preserve"> for all hours of the day for the average event day</w:t>
      </w:r>
      <w:proofErr w:type="gramStart"/>
      <w:r>
        <w:t xml:space="preserve">.  </w:t>
      </w:r>
      <w:proofErr w:type="gramEnd"/>
      <w:r>
        <w:t>This figure is an example of the output</w:t>
      </w:r>
      <w:r w:rsidRPr="00B949E3">
        <w:t xml:space="preserve"> f</w:t>
      </w:r>
      <w:r>
        <w:t>rom</w:t>
      </w:r>
      <w:r w:rsidRPr="00B949E3">
        <w:t xml:space="preserve"> the electronic table generator</w:t>
      </w:r>
      <w:r>
        <w:t>, which is</w:t>
      </w:r>
      <w:r w:rsidRPr="00B949E3">
        <w:t xml:space="preserve"> filed with the CPUC along with this evaluation report</w:t>
      </w:r>
      <w:proofErr w:type="gramStart"/>
      <w:r w:rsidRPr="00B949E3">
        <w:t xml:space="preserve">.  </w:t>
      </w:r>
      <w:proofErr w:type="gramEnd"/>
      <w:r w:rsidRPr="00B949E3">
        <w:t>Percent reductions in each h</w:t>
      </w:r>
      <w:r>
        <w:t>our vary modestly across the four-</w:t>
      </w:r>
      <w:r w:rsidRPr="00B949E3">
        <w:t>hour event wi</w:t>
      </w:r>
      <w:r>
        <w:t>ndow, ranging from a high of 8.5% in the second event</w:t>
      </w:r>
      <w:r w:rsidRPr="00B949E3">
        <w:t xml:space="preserve"> hour to a low of </w:t>
      </w:r>
      <w:r>
        <w:t>7.7</w:t>
      </w:r>
      <w:r w:rsidRPr="00B949E3">
        <w:t xml:space="preserve">% in the </w:t>
      </w:r>
      <w:r>
        <w:t>fourth hour</w:t>
      </w:r>
      <w:proofErr w:type="gramStart"/>
      <w:r>
        <w:t xml:space="preserve">.  </w:t>
      </w:r>
      <w:proofErr w:type="gramEnd"/>
      <w:r w:rsidRPr="00B949E3">
        <w:t>Th</w:t>
      </w:r>
      <w:r>
        <w:t>e highest aggregate impact, 44.0 MW, occurs in the second</w:t>
      </w:r>
      <w:r w:rsidRPr="00B949E3">
        <w:t xml:space="preserve"> </w:t>
      </w:r>
      <w:r>
        <w:t>hour and the lowest impact, 36.2</w:t>
      </w:r>
      <w:r w:rsidRPr="00B949E3">
        <w:t xml:space="preserve"> MW, occurs in the last hour</w:t>
      </w:r>
      <w:proofErr w:type="gramStart"/>
      <w:r w:rsidRPr="00B949E3">
        <w:t xml:space="preserve">.  </w:t>
      </w:r>
      <w:proofErr w:type="gramEnd"/>
      <w:r w:rsidRPr="00B949E3">
        <w:t>The decline in impacts coincides with the decline in the aggregate reference load</w:t>
      </w:r>
      <w:proofErr w:type="gramStart"/>
      <w:r w:rsidRPr="00B949E3">
        <w:t xml:space="preserve">.  </w:t>
      </w:r>
      <w:proofErr w:type="gramEnd"/>
      <w:r w:rsidRPr="00B949E3">
        <w:t xml:space="preserve">This represents a typical </w:t>
      </w:r>
      <w:r>
        <w:t xml:space="preserve">usage </w:t>
      </w:r>
      <w:r w:rsidRPr="00B949E3">
        <w:t>pattern for non</w:t>
      </w:r>
      <w:r>
        <w:t xml:space="preserve">-residential customers: </w:t>
      </w:r>
      <w:r w:rsidRPr="00B949E3">
        <w:t>a relatively steep decline in late afternoon and early evening</w:t>
      </w:r>
      <w:r>
        <w:t xml:space="preserve"> that coincides with </w:t>
      </w:r>
      <w:r w:rsidRPr="00B949E3">
        <w:t>when man</w:t>
      </w:r>
      <w:r>
        <w:t xml:space="preserve">y </w:t>
      </w:r>
      <w:r w:rsidRPr="00B949E3">
        <w:t>businesses begin shutting down at the end of the</w:t>
      </w:r>
      <w:r w:rsidR="00790BCD">
        <w:t> </w:t>
      </w:r>
      <w:r w:rsidRPr="00B949E3">
        <w:t>work day.</w:t>
      </w:r>
    </w:p>
    <w:p w:rsidR="006A7080" w:rsidRDefault="006A7080" w:rsidP="006A7080">
      <w:pPr>
        <w:pStyle w:val="BodyParagraph"/>
        <w:sectPr w:rsidR="006A7080" w:rsidSect="003B398F">
          <w:footerReference w:type="default" r:id="rId46"/>
          <w:pgSz w:w="12240" w:h="15840"/>
          <w:pgMar w:top="1440" w:right="1440" w:bottom="1440" w:left="1440" w:header="720" w:footer="720" w:gutter="0"/>
          <w:cols w:space="720"/>
          <w:docGrid w:linePitch="360"/>
        </w:sectPr>
      </w:pPr>
      <w:r>
        <w:t>The hourly load impacts for the average 2014 event day are similar in shape to the 2013 hourly load impacts: stronger in the earliest hours of the event and weakest at the end of the event</w:t>
      </w:r>
      <w:proofErr w:type="gramStart"/>
      <w:r>
        <w:t xml:space="preserve">.  </w:t>
      </w:r>
      <w:proofErr w:type="gramEnd"/>
      <w:r>
        <w:t>The average impact (22.6 kW) and percent impact (8.1%) are quite similar to the 2013 estimates (22.4 kW and 8.6%)</w:t>
      </w:r>
      <w:proofErr w:type="gramStart"/>
      <w:r>
        <w:t xml:space="preserve">.  </w:t>
      </w:r>
      <w:proofErr w:type="gramEnd"/>
      <w:r>
        <w:t>However, the aggregate impact on the typical event day (41 MW) is larger in 2014 compared with the 2013 value (38.4 MW) because enrollment increased by roughly 100 participants</w:t>
      </w:r>
      <w:proofErr w:type="gramStart"/>
      <w:r>
        <w:t xml:space="preserve">.  </w:t>
      </w:r>
      <w:proofErr w:type="gramEnd"/>
      <w:r>
        <w:t>New additions have been mainly from the agricultural sector.</w:t>
      </w:r>
    </w:p>
    <w:p w:rsidR="006A7080" w:rsidRDefault="006A7080" w:rsidP="006A7080">
      <w:pPr>
        <w:pStyle w:val="TableFigureCaption"/>
        <w:rPr>
          <w:noProof/>
        </w:rPr>
      </w:pPr>
      <w:r w:rsidRPr="007245DF">
        <w:lastRenderedPageBreak/>
        <w:t xml:space="preserve">Figure 4-2: </w:t>
      </w:r>
      <w:r>
        <w:t>Aggregate Impact for the Average Event Day in 2014</w:t>
      </w:r>
      <w:r>
        <w:br/>
      </w:r>
      <w:r w:rsidRPr="007245DF">
        <w:t xml:space="preserve">Default CPP </w:t>
      </w:r>
      <w:proofErr w:type="gramStart"/>
      <w:r w:rsidRPr="007245DF">
        <w:t>Ex</w:t>
      </w:r>
      <w:proofErr w:type="gramEnd"/>
      <w:r w:rsidRPr="007245DF">
        <w:t xml:space="preserve"> Post Load Impacts</w:t>
      </w:r>
    </w:p>
    <w:p w:rsidR="006A7080" w:rsidRDefault="006A7080" w:rsidP="006A7080">
      <w:pPr>
        <w:pStyle w:val="Footnote"/>
        <w:jc w:val="center"/>
        <w:sectPr w:rsidR="006A7080" w:rsidSect="003B398F">
          <w:headerReference w:type="default" r:id="rId47"/>
          <w:footerReference w:type="default" r:id="rId48"/>
          <w:pgSz w:w="15840" w:h="12240" w:orient="landscape"/>
          <w:pgMar w:top="1440" w:right="1440" w:bottom="1440" w:left="1440" w:header="720" w:footer="720" w:gutter="0"/>
          <w:cols w:space="720"/>
          <w:docGrid w:linePitch="360"/>
        </w:sectPr>
      </w:pPr>
      <w:r>
        <w:rPr>
          <w:noProof/>
        </w:rPr>
        <w:drawing>
          <wp:inline distT="0" distB="0" distL="0" distR="0" wp14:anchorId="38FA9E51" wp14:editId="019853FC">
            <wp:extent cx="8259834" cy="4162567"/>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8269157" cy="4167265"/>
                    </a:xfrm>
                    <a:prstGeom prst="rect">
                      <a:avLst/>
                    </a:prstGeom>
                  </pic:spPr>
                </pic:pic>
              </a:graphicData>
            </a:graphic>
          </wp:inline>
        </w:drawing>
      </w:r>
    </w:p>
    <w:p w:rsidR="006A7080" w:rsidRDefault="006A7080" w:rsidP="006A7080">
      <w:pPr>
        <w:pStyle w:val="Heading2"/>
        <w:ind w:left="576" w:hanging="576"/>
      </w:pPr>
      <w:bookmarkStart w:id="98" w:name="_Toc326072107"/>
      <w:bookmarkStart w:id="99" w:name="_Toc352323632"/>
      <w:bookmarkStart w:id="100" w:name="_Toc412650591"/>
      <w:bookmarkStart w:id="101" w:name="_Toc415494764"/>
      <w:r w:rsidRPr="008A1951">
        <w:lastRenderedPageBreak/>
        <w:t>Load</w:t>
      </w:r>
      <w:r>
        <w:t xml:space="preserve"> Impacts by Industry</w:t>
      </w:r>
      <w:bookmarkEnd w:id="98"/>
      <w:bookmarkEnd w:id="99"/>
      <w:bookmarkEnd w:id="100"/>
      <w:bookmarkEnd w:id="101"/>
    </w:p>
    <w:p w:rsidR="006A7080" w:rsidRDefault="006A7080" w:rsidP="006A7080">
      <w:pPr>
        <w:pStyle w:val="BodyParagraph"/>
      </w:pPr>
      <w:r>
        <w:t>Table 4-2 compares the reference load, load impact and the number of accounts, in percentage terms, across industry segments</w:t>
      </w:r>
      <w:proofErr w:type="gramStart"/>
      <w:r>
        <w:t xml:space="preserve">.  </w:t>
      </w:r>
      <w:proofErr w:type="gramEnd"/>
      <w:r>
        <w:t>It also shows the share of demand reduced by the average customer within each industry and whether or not the demand reduction was statistically significant at the 10% significance level</w:t>
      </w:r>
      <w:proofErr w:type="gramStart"/>
      <w:r>
        <w:t xml:space="preserve">.  </w:t>
      </w:r>
      <w:proofErr w:type="gramEnd"/>
      <w:r>
        <w:t>The industries are presented in rank order based on</w:t>
      </w:r>
      <w:r w:rsidR="004C74AD">
        <w:t> </w:t>
      </w:r>
      <w:r>
        <w:t>t</w:t>
      </w:r>
      <w:r w:rsidR="00803087">
        <w:t>he aggregate demand reduction.</w:t>
      </w:r>
    </w:p>
    <w:p w:rsidR="006A7080" w:rsidRDefault="006A7080" w:rsidP="006A7080">
      <w:pPr>
        <w:pStyle w:val="BodyParagraph"/>
      </w:pPr>
      <w:r>
        <w:t>About 45% of the accounts came from three industry segments: Manufacturing; Wholesale, Transport &amp; Other Utilities; and Agriculture, Mining &amp; Construction</w:t>
      </w:r>
      <w:proofErr w:type="gramStart"/>
      <w:r>
        <w:t xml:space="preserve">.  </w:t>
      </w:r>
      <w:proofErr w:type="gramEnd"/>
      <w:r>
        <w:t>These three industries had</w:t>
      </w:r>
      <w:r w:rsidR="00790BCD">
        <w:t> </w:t>
      </w:r>
      <w:r>
        <w:t>the highest percent impact and highest average impact per customer</w:t>
      </w:r>
      <w:proofErr w:type="gramStart"/>
      <w:r>
        <w:t xml:space="preserve">.  </w:t>
      </w:r>
      <w:proofErr w:type="gramEnd"/>
      <w:r>
        <w:t xml:space="preserve">Combined, they accounted for 44% of the reference load (222.8 MW), but produced </w:t>
      </w:r>
      <w:r w:rsidR="001E41B6">
        <w:t xml:space="preserve">nearly </w:t>
      </w:r>
      <w:r>
        <w:t>75% of the impacts</w:t>
      </w:r>
      <w:proofErr w:type="gramStart"/>
      <w:r>
        <w:t xml:space="preserve">.  </w:t>
      </w:r>
      <w:proofErr w:type="gramEnd"/>
      <w:r>
        <w:t>CPP participants in the Manufacturing sector provided 13.8 MW of aggregate load reduction on the average event day, while the Wholesale, Transport &amp; Other Utilities segment provided 10.1 MW of aggregate load impact, reducing loads by 13.4% and 20.4%, respectively.</w:t>
      </w:r>
    </w:p>
    <w:p w:rsidR="006A7080" w:rsidRDefault="006A7080" w:rsidP="006A7080">
      <w:pPr>
        <w:pStyle w:val="BodyParagraph"/>
      </w:pPr>
      <w:r>
        <w:t>The Offices, Hotels, Finances &amp; Services sector has the most accounts enrolled, but also has small load reductions on both a percentage and absolute basis</w:t>
      </w:r>
      <w:proofErr w:type="gramStart"/>
      <w:r>
        <w:t xml:space="preserve">.  </w:t>
      </w:r>
      <w:proofErr w:type="gramEnd"/>
      <w:r>
        <w:t>The reference load for the program is also concentrated in this sector, typically comprised of office buildings</w:t>
      </w:r>
      <w:proofErr w:type="gramStart"/>
      <w:r>
        <w:t xml:space="preserve">.  </w:t>
      </w:r>
      <w:proofErr w:type="gramEnd"/>
      <w:r>
        <w:t>They accounted for 36% of the estimated reference load</w:t>
      </w:r>
      <w:r w:rsidR="0057411A">
        <w:t>,</w:t>
      </w:r>
      <w:r>
        <w:t xml:space="preserve"> but produced 17.8% of the load reduction (7.3 MW)</w:t>
      </w:r>
      <w:proofErr w:type="gramStart"/>
      <w:r>
        <w:t xml:space="preserve">.  </w:t>
      </w:r>
      <w:proofErr w:type="gramEnd"/>
      <w:r>
        <w:t xml:space="preserve">On average, offices reduced load by 4.0%. </w:t>
      </w:r>
    </w:p>
    <w:p w:rsidR="006A7080" w:rsidRDefault="006A7080" w:rsidP="006A7080">
      <w:pPr>
        <w:pStyle w:val="TableFigureCaption"/>
      </w:pPr>
      <w:r>
        <w:t xml:space="preserve">Table 4-2: Default CPP </w:t>
      </w:r>
      <w:r w:rsidRPr="00D963CC">
        <w:t xml:space="preserve">Ex Post Load </w:t>
      </w:r>
      <w:r>
        <w:t>Impact Estimates by Industry</w:t>
      </w:r>
      <w:r>
        <w:br/>
        <w:t>Average 2014 PG</w:t>
      </w:r>
      <w:r w:rsidRPr="00F538E3">
        <w:t>&amp;E CPP Event</w:t>
      </w:r>
      <w:r>
        <w:t xml:space="preserve"> (2-6 PM)*</w:t>
      </w:r>
    </w:p>
    <w:tbl>
      <w:tblPr>
        <w:tblW w:w="11517" w:type="dxa"/>
        <w:jc w:val="center"/>
        <w:tblInd w:w="93" w:type="dxa"/>
        <w:tblLook w:val="04A0" w:firstRow="1" w:lastRow="0" w:firstColumn="1" w:lastColumn="0" w:noHBand="0" w:noVBand="1"/>
      </w:tblPr>
      <w:tblGrid>
        <w:gridCol w:w="2384"/>
        <w:gridCol w:w="1261"/>
        <w:gridCol w:w="1039"/>
        <w:gridCol w:w="805"/>
        <w:gridCol w:w="1084"/>
        <w:gridCol w:w="806"/>
        <w:gridCol w:w="1058"/>
        <w:gridCol w:w="1006"/>
        <w:gridCol w:w="1194"/>
        <w:gridCol w:w="880"/>
      </w:tblGrid>
      <w:tr w:rsidR="006A7080" w:rsidRPr="00C50A30" w:rsidTr="00803087">
        <w:trPr>
          <w:trHeight w:val="495"/>
          <w:jc w:val="center"/>
        </w:trPr>
        <w:tc>
          <w:tcPr>
            <w:tcW w:w="2384"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Industry</w:t>
            </w:r>
          </w:p>
        </w:tc>
        <w:tc>
          <w:tcPr>
            <w:tcW w:w="2300" w:type="dxa"/>
            <w:gridSpan w:val="2"/>
            <w:tcBorders>
              <w:top w:val="single" w:sz="4" w:space="0" w:color="auto"/>
              <w:left w:val="nil"/>
              <w:bottom w:val="single" w:sz="4" w:space="0" w:color="FFFFFF"/>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Accounts</w:t>
            </w:r>
          </w:p>
        </w:tc>
        <w:tc>
          <w:tcPr>
            <w:tcW w:w="1889" w:type="dxa"/>
            <w:gridSpan w:val="2"/>
            <w:tcBorders>
              <w:top w:val="single" w:sz="4" w:space="0" w:color="auto"/>
              <w:left w:val="nil"/>
              <w:bottom w:val="single" w:sz="4" w:space="0" w:color="FFFFFF"/>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Aggregate Reference Load</w:t>
            </w:r>
          </w:p>
        </w:tc>
        <w:tc>
          <w:tcPr>
            <w:tcW w:w="1864" w:type="dxa"/>
            <w:gridSpan w:val="2"/>
            <w:tcBorders>
              <w:top w:val="single" w:sz="4" w:space="0" w:color="auto"/>
              <w:left w:val="nil"/>
              <w:bottom w:val="single" w:sz="4" w:space="0" w:color="FFFFFF"/>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Aggregate Impact</w:t>
            </w:r>
          </w:p>
        </w:tc>
        <w:tc>
          <w:tcPr>
            <w:tcW w:w="1006" w:type="dxa"/>
            <w:tcBorders>
              <w:top w:val="single" w:sz="4" w:space="0" w:color="auto"/>
              <w:left w:val="nil"/>
              <w:bottom w:val="single" w:sz="4" w:space="0" w:color="FFFFFF"/>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Average Impact</w:t>
            </w:r>
          </w:p>
        </w:tc>
        <w:tc>
          <w:tcPr>
            <w:tcW w:w="1194"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 Reduction</w:t>
            </w:r>
          </w:p>
        </w:tc>
        <w:tc>
          <w:tcPr>
            <w:tcW w:w="88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Stat. Sig?</w:t>
            </w:r>
          </w:p>
        </w:tc>
      </w:tr>
      <w:tr w:rsidR="006A7080" w:rsidRPr="00C50A30" w:rsidTr="00803087">
        <w:trPr>
          <w:trHeight w:val="480"/>
          <w:jc w:val="center"/>
        </w:trPr>
        <w:tc>
          <w:tcPr>
            <w:tcW w:w="2384"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C50A30" w:rsidRDefault="006A7080" w:rsidP="00E01137">
            <w:pPr>
              <w:pStyle w:val="TableHeader"/>
              <w:rPr>
                <w:rFonts w:eastAsia="Times New Roman"/>
              </w:rPr>
            </w:pPr>
          </w:p>
        </w:tc>
        <w:tc>
          <w:tcPr>
            <w:tcW w:w="1261" w:type="dxa"/>
            <w:tcBorders>
              <w:top w:val="nil"/>
              <w:left w:val="nil"/>
              <w:bottom w:val="single" w:sz="4" w:space="0" w:color="auto"/>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Enrollment</w:t>
            </w:r>
          </w:p>
        </w:tc>
        <w:tc>
          <w:tcPr>
            <w:tcW w:w="1039" w:type="dxa"/>
            <w:tcBorders>
              <w:top w:val="nil"/>
              <w:left w:val="nil"/>
              <w:bottom w:val="single" w:sz="4" w:space="0" w:color="auto"/>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 of Program</w:t>
            </w:r>
          </w:p>
        </w:tc>
        <w:tc>
          <w:tcPr>
            <w:tcW w:w="805" w:type="dxa"/>
            <w:tcBorders>
              <w:top w:val="nil"/>
              <w:left w:val="nil"/>
              <w:bottom w:val="single" w:sz="4" w:space="0" w:color="auto"/>
              <w:right w:val="single" w:sz="4" w:space="0" w:color="FFFFFF"/>
            </w:tcBorders>
            <w:shd w:val="clear" w:color="auto" w:fill="0070CD"/>
            <w:noWrap/>
            <w:vAlign w:val="center"/>
            <w:hideMark/>
          </w:tcPr>
          <w:p w:rsidR="006A7080" w:rsidRPr="00C50A30" w:rsidRDefault="006A7080" w:rsidP="00E01137">
            <w:pPr>
              <w:pStyle w:val="TableHeader"/>
              <w:rPr>
                <w:rFonts w:eastAsia="Times New Roman"/>
              </w:rPr>
            </w:pPr>
            <w:r w:rsidRPr="00C50A30">
              <w:rPr>
                <w:rFonts w:eastAsia="Times New Roman"/>
              </w:rPr>
              <w:t>MW</w:t>
            </w:r>
          </w:p>
        </w:tc>
        <w:tc>
          <w:tcPr>
            <w:tcW w:w="1084" w:type="dxa"/>
            <w:tcBorders>
              <w:top w:val="nil"/>
              <w:left w:val="nil"/>
              <w:bottom w:val="single" w:sz="4" w:space="0" w:color="auto"/>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 of Program</w:t>
            </w:r>
          </w:p>
        </w:tc>
        <w:tc>
          <w:tcPr>
            <w:tcW w:w="806" w:type="dxa"/>
            <w:tcBorders>
              <w:top w:val="nil"/>
              <w:left w:val="nil"/>
              <w:bottom w:val="single" w:sz="4" w:space="0" w:color="auto"/>
              <w:right w:val="single" w:sz="4" w:space="0" w:color="FFFFFF"/>
            </w:tcBorders>
            <w:shd w:val="clear" w:color="auto" w:fill="0070CD"/>
            <w:noWrap/>
            <w:vAlign w:val="center"/>
            <w:hideMark/>
          </w:tcPr>
          <w:p w:rsidR="006A7080" w:rsidRPr="00C50A30" w:rsidRDefault="006A7080" w:rsidP="00E01137">
            <w:pPr>
              <w:pStyle w:val="TableHeader"/>
              <w:rPr>
                <w:rFonts w:eastAsia="Times New Roman"/>
              </w:rPr>
            </w:pPr>
            <w:r w:rsidRPr="00C50A30">
              <w:rPr>
                <w:rFonts w:eastAsia="Times New Roman"/>
              </w:rPr>
              <w:t>MW</w:t>
            </w:r>
          </w:p>
        </w:tc>
        <w:tc>
          <w:tcPr>
            <w:tcW w:w="1058" w:type="dxa"/>
            <w:tcBorders>
              <w:top w:val="nil"/>
              <w:left w:val="nil"/>
              <w:bottom w:val="single" w:sz="4" w:space="0" w:color="auto"/>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 of Program</w:t>
            </w:r>
          </w:p>
        </w:tc>
        <w:tc>
          <w:tcPr>
            <w:tcW w:w="1006" w:type="dxa"/>
            <w:tcBorders>
              <w:top w:val="nil"/>
              <w:left w:val="nil"/>
              <w:bottom w:val="single" w:sz="4" w:space="0" w:color="auto"/>
              <w:right w:val="single" w:sz="4" w:space="0" w:color="FFFFFF"/>
            </w:tcBorders>
            <w:shd w:val="clear" w:color="auto" w:fill="0070CD"/>
            <w:vAlign w:val="center"/>
            <w:hideMark/>
          </w:tcPr>
          <w:p w:rsidR="006A7080" w:rsidRPr="00C50A30" w:rsidRDefault="006A7080" w:rsidP="00E01137">
            <w:pPr>
              <w:pStyle w:val="TableHeader"/>
              <w:rPr>
                <w:rFonts w:eastAsia="Times New Roman"/>
              </w:rPr>
            </w:pPr>
            <w:r w:rsidRPr="00C50A30">
              <w:rPr>
                <w:rFonts w:eastAsia="Times New Roman"/>
              </w:rPr>
              <w:t>kW</w:t>
            </w:r>
          </w:p>
        </w:tc>
        <w:tc>
          <w:tcPr>
            <w:tcW w:w="1194"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C50A30" w:rsidRDefault="006A7080" w:rsidP="00E01137">
            <w:pPr>
              <w:pStyle w:val="TableHeader"/>
              <w:rPr>
                <w:rFonts w:eastAsia="Times New Roman"/>
              </w:rPr>
            </w:pPr>
          </w:p>
        </w:tc>
        <w:tc>
          <w:tcPr>
            <w:tcW w:w="88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6A7080" w:rsidRPr="00C50A30" w:rsidRDefault="006A7080" w:rsidP="00E01137">
            <w:pPr>
              <w:pStyle w:val="TableHeader"/>
              <w:rPr>
                <w:rFonts w:eastAsia="Times New Roman"/>
              </w:rPr>
            </w:pPr>
          </w:p>
        </w:tc>
      </w:tr>
      <w:tr w:rsidR="006A7080" w:rsidRPr="00C50A30" w:rsidTr="00803087">
        <w:trPr>
          <w:trHeight w:val="30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Manufacturing</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294</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16.2%</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102.8</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20.4%</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13.8</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33.7%</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46.9</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13.4%</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48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Wholesale, Transport &amp; Other Utilities</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249</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13.7%</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49.6</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9.8%</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10.1</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24.8%</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40.7</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20.4%</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48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Offices, Hotels, Finance, Services</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519</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28.6%</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180.2</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35.7%</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7.3</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17.8%</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14.0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4.0%</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48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Agriculture, Mining &amp; Construction</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261</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14.4%</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70.4</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14.0%</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6.7</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16.3%</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25.6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9.5%</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30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Schools</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230</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12.7%</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40.3</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8.0%</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1.5</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3.7%</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6.6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3.8%</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30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Retail Stores</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83</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4.6%</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20.3</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4.0%</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0.8</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2.0%</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9.8</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4.0%</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30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Other or Unknown</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56</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3.1%</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13.0</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2.6%</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0.5</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9.5</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4.1%</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Yes</w:t>
            </w:r>
          </w:p>
        </w:tc>
      </w:tr>
      <w:tr w:rsidR="006A7080" w:rsidRPr="00C50A30" w:rsidTr="00803087">
        <w:trPr>
          <w:trHeight w:val="300"/>
          <w:jc w:val="center"/>
        </w:trPr>
        <w:tc>
          <w:tcPr>
            <w:tcW w:w="2384" w:type="dxa"/>
            <w:tcBorders>
              <w:top w:val="nil"/>
              <w:left w:val="single" w:sz="4" w:space="0" w:color="auto"/>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Institutional/Government</w:t>
            </w:r>
          </w:p>
        </w:tc>
        <w:tc>
          <w:tcPr>
            <w:tcW w:w="1261" w:type="dxa"/>
            <w:tcBorders>
              <w:top w:val="nil"/>
              <w:left w:val="nil"/>
              <w:bottom w:val="single" w:sz="4" w:space="0" w:color="auto"/>
              <w:right w:val="single" w:sz="4" w:space="0" w:color="auto"/>
            </w:tcBorders>
            <w:shd w:val="clear" w:color="auto" w:fill="auto"/>
            <w:vAlign w:val="center"/>
            <w:hideMark/>
          </w:tcPr>
          <w:p w:rsidR="006A7080" w:rsidRPr="00C50A30" w:rsidRDefault="006A7080" w:rsidP="00E01137">
            <w:pPr>
              <w:pStyle w:val="TableText"/>
              <w:rPr>
                <w:rFonts w:eastAsia="Times New Roman"/>
              </w:rPr>
            </w:pPr>
            <w:r w:rsidRPr="00C50A30">
              <w:rPr>
                <w:rFonts w:eastAsia="Times New Roman"/>
              </w:rPr>
              <w:t>121</w:t>
            </w:r>
          </w:p>
        </w:tc>
        <w:tc>
          <w:tcPr>
            <w:tcW w:w="1039"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6.7%</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27.5</w:t>
            </w:r>
          </w:p>
        </w:tc>
        <w:tc>
          <w:tcPr>
            <w:tcW w:w="108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5.5%</w:t>
            </w:r>
          </w:p>
        </w:tc>
        <w:tc>
          <w:tcPr>
            <w:tcW w:w="8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0.2</w:t>
            </w:r>
          </w:p>
        </w:tc>
        <w:tc>
          <w:tcPr>
            <w:tcW w:w="1058"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0.4%</w:t>
            </w:r>
          </w:p>
        </w:tc>
        <w:tc>
          <w:tcPr>
            <w:tcW w:w="1006"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1.3</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0.6%</w:t>
            </w:r>
          </w:p>
        </w:tc>
        <w:tc>
          <w:tcPr>
            <w:tcW w:w="880" w:type="dxa"/>
            <w:tcBorders>
              <w:top w:val="nil"/>
              <w:left w:val="nil"/>
              <w:bottom w:val="single" w:sz="4" w:space="0" w:color="auto"/>
              <w:right w:val="single" w:sz="4" w:space="0" w:color="auto"/>
            </w:tcBorders>
            <w:shd w:val="clear" w:color="auto" w:fill="auto"/>
            <w:noWrap/>
            <w:vAlign w:val="center"/>
            <w:hideMark/>
          </w:tcPr>
          <w:p w:rsidR="006A7080" w:rsidRPr="00C50A30" w:rsidRDefault="006A7080" w:rsidP="00E01137">
            <w:pPr>
              <w:pStyle w:val="TableText"/>
              <w:rPr>
                <w:rFonts w:eastAsia="Times New Roman"/>
              </w:rPr>
            </w:pPr>
            <w:r w:rsidRPr="00C50A30">
              <w:rPr>
                <w:rFonts w:eastAsia="Times New Roman"/>
              </w:rPr>
              <w:t>No</w:t>
            </w:r>
          </w:p>
        </w:tc>
      </w:tr>
    </w:tbl>
    <w:p w:rsidR="006A7080" w:rsidRDefault="006A7080" w:rsidP="006A7080">
      <w:pPr>
        <w:pStyle w:val="Footnote"/>
        <w:ind w:left="720"/>
        <w:jc w:val="both"/>
      </w:pPr>
      <w:r w:rsidRPr="008E6FED">
        <w:t>*</w:t>
      </w:r>
      <w:r>
        <w:t xml:space="preserve"> Summations across segmentation categories may not equal totals presented for all customers on the average event day (Table 4-1)</w:t>
      </w:r>
      <w:proofErr w:type="gramStart"/>
      <w:r>
        <w:t xml:space="preserve">. </w:t>
      </w:r>
      <w:r w:rsidR="00790BCD">
        <w:t xml:space="preserve"> </w:t>
      </w:r>
      <w:proofErr w:type="gramEnd"/>
      <w:r>
        <w:t>Sector specific estimates required estimation of separate difference-in-differences models and can result on rounding errors.</w:t>
      </w:r>
    </w:p>
    <w:p w:rsidR="0057411A" w:rsidRDefault="0057411A" w:rsidP="0057411A">
      <w:pPr>
        <w:pStyle w:val="BodyParaAfterTableFigure"/>
      </w:pPr>
      <w:r>
        <w:t>Figure 4-3 presents the same information visually, but better illustrates the concentration of load impacts in specific industries</w:t>
      </w:r>
      <w:proofErr w:type="gramStart"/>
      <w:r>
        <w:t xml:space="preserve">.  </w:t>
      </w:r>
      <w:proofErr w:type="gramEnd"/>
      <w:r>
        <w:t>The benefit of Figure 4</w:t>
      </w:r>
      <w:r>
        <w:noBreakHyphen/>
        <w:t xml:space="preserve">3 is that it readily shows how a </w:t>
      </w:r>
      <w:r>
        <w:lastRenderedPageBreak/>
        <w:t>large percentage of PG&amp;E’s CPP program impacts are provided by a relatively small group of customers, and vice versa, that participants in sectors that make up a large portion of CPP enrollment contribute a smaller share of the program’s total load impacts.</w:t>
      </w:r>
    </w:p>
    <w:p w:rsidR="0057411A" w:rsidRDefault="0057411A" w:rsidP="0057411A">
      <w:pPr>
        <w:pStyle w:val="BodyParagraph"/>
      </w:pPr>
      <w:r>
        <w:t>Four of the eight industry segments decreased their load impacts in 2014 relative to 2013</w:t>
      </w:r>
      <w:proofErr w:type="gramStart"/>
      <w:r>
        <w:t xml:space="preserve">.  </w:t>
      </w:r>
      <w:proofErr w:type="gramEnd"/>
      <w:r>
        <w:t>Before addressing these differences, we note that comparisons across years must be made conservatively, as the matching and modeling across years var</w:t>
      </w:r>
      <w:r w:rsidR="00790BCD">
        <w:t>y</w:t>
      </w:r>
      <w:proofErr w:type="gramStart"/>
      <w:r>
        <w:t xml:space="preserve">.  </w:t>
      </w:r>
      <w:proofErr w:type="gramEnd"/>
      <w:r>
        <w:t>The matching approach in 2014 differed from that in 2013, so some difference may be an artifact of modeling</w:t>
      </w:r>
      <w:proofErr w:type="gramStart"/>
      <w:r>
        <w:t xml:space="preserve">.  </w:t>
      </w:r>
      <w:proofErr w:type="gramEnd"/>
      <w:r>
        <w:t>Wholesale, Transport &amp; Other Utilities delivered 13.5 MW in 2013 and 10.1 MW in 2014, a 25% reduction</w:t>
      </w:r>
      <w:proofErr w:type="gramStart"/>
      <w:r>
        <w:t xml:space="preserve">.  </w:t>
      </w:r>
      <w:proofErr w:type="gramEnd"/>
      <w:r>
        <w:t>The other industr</w:t>
      </w:r>
      <w:r w:rsidR="00790BCD">
        <w:t>y</w:t>
      </w:r>
      <w:r>
        <w:t xml:space="preserve"> segments with decreased load impacts, Retail Stores, Institutional/ Government and Other, made up only 8% of aggregate impacts in 2013, and now make up 4%</w:t>
      </w:r>
      <w:proofErr w:type="gramStart"/>
      <w:r>
        <w:t xml:space="preserve">.  </w:t>
      </w:r>
      <w:proofErr w:type="gramEnd"/>
      <w:r>
        <w:t>The four industry segments that increased load impacts in 2014 were led by the Agriculture, Mining &amp; Construction segment, which increased aggregate load impacts by 3.0 MW, an 82% increase in the segment’s 2013 impact</w:t>
      </w:r>
      <w:proofErr w:type="gramStart"/>
      <w:r>
        <w:t xml:space="preserve">.  </w:t>
      </w:r>
      <w:proofErr w:type="gramEnd"/>
      <w:r>
        <w:t>The increased load impacts delivered by the Agriculture, Mining &amp; Construction sector are the effect of increased enrollment from 155 accounts in 2013 to 261 in 2014, and the larger size of enrolled customers: aggregate reference load in the Agriculture, Mining &amp; Construction sector increased by 150% to 70.4 MW.</w:t>
      </w:r>
    </w:p>
    <w:p w:rsidR="006A7080" w:rsidRDefault="006A7080" w:rsidP="006A7080">
      <w:pPr>
        <w:pStyle w:val="TableFigureCaption"/>
      </w:pPr>
      <w:r>
        <w:t xml:space="preserve">Figure 4-3: Default CPP </w:t>
      </w:r>
      <w:r w:rsidRPr="00D963CC">
        <w:t xml:space="preserve">Enrollment, </w:t>
      </w:r>
      <w:r>
        <w:t xml:space="preserve">Load, </w:t>
      </w:r>
      <w:r w:rsidRPr="00D963CC">
        <w:t>Impact and</w:t>
      </w:r>
      <w:r>
        <w:t xml:space="preserve"> Percent </w:t>
      </w:r>
      <w:r w:rsidR="00283EC7">
        <w:br/>
      </w:r>
      <w:r>
        <w:t>Demand</w:t>
      </w:r>
      <w:r w:rsidRPr="00D963CC">
        <w:t xml:space="preserve"> Reduction by Industry</w:t>
      </w:r>
      <w:r w:rsidRPr="00D963CC">
        <w:br/>
      </w:r>
      <w:r>
        <w:t>Average 2014 PG</w:t>
      </w:r>
      <w:r w:rsidRPr="00F538E3">
        <w:t>&amp;E CPP Event</w:t>
      </w:r>
      <w:r>
        <w:t xml:space="preserve"> (2 to 6 PM)</w:t>
      </w:r>
      <w:r w:rsidRPr="001F3F96">
        <w:rPr>
          <w:noProof/>
        </w:rPr>
        <w:t xml:space="preserve"> </w:t>
      </w:r>
      <w:r w:rsidR="009E1CA8">
        <w:rPr>
          <w:noProof/>
        </w:rPr>
        <w:drawing>
          <wp:inline distT="0" distB="0" distL="0" distR="0" wp14:anchorId="4BDA93C2" wp14:editId="1B634F93">
            <wp:extent cx="5303520" cy="3401256"/>
            <wp:effectExtent l="0" t="0" r="0" b="8890"/>
            <wp:docPr id="7" name="Picture 7" descr="cid:image003.png@01D05810.6B153F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05810.6B153F60"/>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5303520" cy="3401256"/>
                    </a:xfrm>
                    <a:prstGeom prst="rect">
                      <a:avLst/>
                    </a:prstGeom>
                    <a:noFill/>
                    <a:ln>
                      <a:noFill/>
                    </a:ln>
                  </pic:spPr>
                </pic:pic>
              </a:graphicData>
            </a:graphic>
          </wp:inline>
        </w:drawing>
      </w:r>
    </w:p>
    <w:p w:rsidR="006A7080" w:rsidRDefault="006A7080" w:rsidP="006A7080">
      <w:pPr>
        <w:pStyle w:val="Heading2"/>
        <w:spacing w:before="360"/>
        <w:ind w:left="576" w:hanging="576"/>
      </w:pPr>
      <w:bookmarkStart w:id="102" w:name="_Toc326072108"/>
      <w:bookmarkStart w:id="103" w:name="_Toc352323633"/>
      <w:bookmarkStart w:id="104" w:name="_Toc412650592"/>
      <w:bookmarkStart w:id="105" w:name="_Toc415494765"/>
      <w:r w:rsidRPr="00AD6E36">
        <w:t>Load</w:t>
      </w:r>
      <w:r>
        <w:t xml:space="preserve"> Impacts by Local Capacity Area</w:t>
      </w:r>
      <w:bookmarkEnd w:id="102"/>
      <w:bookmarkEnd w:id="103"/>
      <w:r>
        <w:t xml:space="preserve"> and Customer Size</w:t>
      </w:r>
      <w:bookmarkEnd w:id="104"/>
      <w:bookmarkEnd w:id="105"/>
    </w:p>
    <w:p w:rsidR="006A7080" w:rsidRDefault="006A7080" w:rsidP="006A7080">
      <w:pPr>
        <w:pStyle w:val="BodyParagraph"/>
      </w:pPr>
      <w:r>
        <w:t>PG&amp;E</w:t>
      </w:r>
      <w:r w:rsidRPr="00E84E74">
        <w:t xml:space="preserve"> is compr</w:t>
      </w:r>
      <w:r>
        <w:t>ised of seven</w:t>
      </w:r>
      <w:r w:rsidRPr="00E84E74">
        <w:t xml:space="preserve"> geographic planning zones known as LCAs</w:t>
      </w:r>
      <w:proofErr w:type="gramStart"/>
      <w:r w:rsidRPr="00E84E74">
        <w:t xml:space="preserve">.  </w:t>
      </w:r>
      <w:proofErr w:type="gramEnd"/>
      <w:r>
        <w:t xml:space="preserve">An eighth region, designated as </w:t>
      </w:r>
      <w:r w:rsidR="009E1CA8">
        <w:t xml:space="preserve">the </w:t>
      </w:r>
      <w:r>
        <w:t>Other LCA, is comprised of customers that are not located in any of the seven LCAs</w:t>
      </w:r>
      <w:proofErr w:type="gramStart"/>
      <w:r>
        <w:t xml:space="preserve">.  </w:t>
      </w:r>
      <w:proofErr w:type="gramEnd"/>
      <w:r>
        <w:t>The ex post load impacts differ</w:t>
      </w:r>
      <w:r w:rsidRPr="00E84E74">
        <w:t xml:space="preserve"> </w:t>
      </w:r>
      <w:r>
        <w:t xml:space="preserve">by geographic location due to differences in the total population, industry </w:t>
      </w:r>
      <w:proofErr w:type="gramStart"/>
      <w:r>
        <w:t>mix</w:t>
      </w:r>
      <w:proofErr w:type="gramEnd"/>
      <w:r>
        <w:t xml:space="preserve"> and climate. </w:t>
      </w:r>
    </w:p>
    <w:p w:rsidR="006A7080" w:rsidRDefault="006A7080" w:rsidP="009E1CA8">
      <w:pPr>
        <w:pStyle w:val="BodyParagraph"/>
        <w:rPr>
          <w:rFonts w:ascii="Calibri" w:hAnsi="Calibri"/>
          <w:b/>
        </w:rPr>
      </w:pPr>
      <w:r>
        <w:lastRenderedPageBreak/>
        <w:t>Table 4-</w:t>
      </w:r>
      <w:r w:rsidR="009E1CA8">
        <w:t>3</w:t>
      </w:r>
      <w:r>
        <w:t xml:space="preserve"> presents the estimated ex post load impacts by LCA</w:t>
      </w:r>
      <w:proofErr w:type="gramStart"/>
      <w:r>
        <w:t xml:space="preserve">.  </w:t>
      </w:r>
      <w:proofErr w:type="gramEnd"/>
      <w:r>
        <w:t>Participants in the Greater Bay</w:t>
      </w:r>
      <w:r w:rsidR="004C74AD">
        <w:t> </w:t>
      </w:r>
      <w:r>
        <w:t xml:space="preserve">Area provided 10.2 MW of aggregate load impact during the average event day, </w:t>
      </w:r>
      <w:r w:rsidRPr="00347352">
        <w:t xml:space="preserve">while customers in the Other LCA provided </w:t>
      </w:r>
      <w:r>
        <w:t>11.5</w:t>
      </w:r>
      <w:r w:rsidRPr="00347352">
        <w:t xml:space="preserve"> MW of aggregate load </w:t>
      </w:r>
      <w:r>
        <w:t>reduction</w:t>
      </w:r>
      <w:proofErr w:type="gramStart"/>
      <w:r>
        <w:t xml:space="preserve">.  </w:t>
      </w:r>
      <w:proofErr w:type="gramEnd"/>
      <w:r>
        <w:t>The Greater Bay Area had the lowest average impact per customer of 12.5 kW, wh</w:t>
      </w:r>
      <w:r w:rsidR="009E1CA8">
        <w:t xml:space="preserve">ile customers in the Other LCA </w:t>
      </w:r>
      <w:r>
        <w:t>provided an average impact of 36.1 kW, which was the second highest</w:t>
      </w:r>
      <w:proofErr w:type="gramStart"/>
      <w:r>
        <w:t xml:space="preserve">.  </w:t>
      </w:r>
      <w:proofErr w:type="gramEnd"/>
      <w:r>
        <w:t>Combined, these LCAs comprise 53</w:t>
      </w:r>
      <w:r w:rsidRPr="00347352">
        <w:t xml:space="preserve">% </w:t>
      </w:r>
      <w:r>
        <w:t xml:space="preserve">of </w:t>
      </w:r>
      <w:r w:rsidRPr="00347352">
        <w:t>aggregate load impac</w:t>
      </w:r>
      <w:r>
        <w:t>t</w:t>
      </w:r>
      <w:proofErr w:type="gramStart"/>
      <w:r w:rsidRPr="00347352">
        <w:t xml:space="preserve">.  </w:t>
      </w:r>
      <w:proofErr w:type="gramEnd"/>
      <w:r w:rsidRPr="00347352">
        <w:t>Customers</w:t>
      </w:r>
      <w:r>
        <w:t xml:space="preserve"> in the Greater Bay Area had the highest average ref</w:t>
      </w:r>
      <w:r w:rsidR="009E1CA8">
        <w:t>erence load of any LCA, at 316</w:t>
      </w:r>
      <w:r>
        <w:t xml:space="preserve"> kW, while customers in the Humboldt LCA had the lowest average reference load (179.3 kW)</w:t>
      </w:r>
      <w:proofErr w:type="gramStart"/>
      <w:r>
        <w:t xml:space="preserve">.  </w:t>
      </w:r>
      <w:proofErr w:type="gramEnd"/>
      <w:r>
        <w:t>Figure 4-4 illustrates how large the Bay Area and Other LCAs are on a customer and reference load basis</w:t>
      </w:r>
      <w:r w:rsidR="004C74AD">
        <w:rPr>
          <w:rFonts w:cs="Arial"/>
        </w:rPr>
        <w:t>—</w:t>
      </w:r>
      <w:r>
        <w:t>these two segments comprise 62% of enrolled accounts and 66% of enrolled load.</w:t>
      </w:r>
    </w:p>
    <w:p w:rsidR="006A7080" w:rsidRDefault="006A7080" w:rsidP="006A7080">
      <w:pPr>
        <w:pStyle w:val="TableFigureCaption"/>
        <w:contextualSpacing/>
      </w:pPr>
      <w:r w:rsidRPr="00CC2111">
        <w:t>Table 4-</w:t>
      </w:r>
      <w:r>
        <w:t>3</w:t>
      </w:r>
      <w:r w:rsidRPr="00CC2111">
        <w:t xml:space="preserve">: </w:t>
      </w:r>
      <w:r>
        <w:t xml:space="preserve">Default CPP </w:t>
      </w:r>
      <w:proofErr w:type="gramStart"/>
      <w:r w:rsidRPr="00D963CC">
        <w:t>Ex</w:t>
      </w:r>
      <w:proofErr w:type="gramEnd"/>
      <w:r w:rsidRPr="00D963CC">
        <w:t xml:space="preserve"> Post Load </w:t>
      </w:r>
      <w:r>
        <w:t>Impact Estimates by LCA</w:t>
      </w:r>
    </w:p>
    <w:p w:rsidR="006A7080" w:rsidRDefault="006A7080" w:rsidP="006A7080">
      <w:pPr>
        <w:pStyle w:val="TableFigureCaption"/>
        <w:contextualSpacing/>
      </w:pPr>
      <w:r>
        <w:t>Average 2014 PG</w:t>
      </w:r>
      <w:r w:rsidRPr="00F538E3">
        <w:t>&amp;E CPP Event</w:t>
      </w:r>
      <w:r w:rsidR="00744453">
        <w:t xml:space="preserve"> (2 to </w:t>
      </w:r>
      <w:r>
        <w:t>6 PM)*</w:t>
      </w:r>
    </w:p>
    <w:tbl>
      <w:tblPr>
        <w:tblW w:w="10695" w:type="dxa"/>
        <w:jc w:val="center"/>
        <w:tblInd w:w="815" w:type="dxa"/>
        <w:tblLook w:val="04A0" w:firstRow="1" w:lastRow="0" w:firstColumn="1" w:lastColumn="0" w:noHBand="0" w:noVBand="1"/>
      </w:tblPr>
      <w:tblGrid>
        <w:gridCol w:w="1598"/>
        <w:gridCol w:w="1128"/>
        <w:gridCol w:w="1943"/>
        <w:gridCol w:w="1447"/>
        <w:gridCol w:w="861"/>
        <w:gridCol w:w="1206"/>
        <w:gridCol w:w="1194"/>
        <w:gridCol w:w="1000"/>
        <w:gridCol w:w="650"/>
      </w:tblGrid>
      <w:tr w:rsidR="008028DC" w:rsidRPr="009E1CA8" w:rsidTr="008028DC">
        <w:trPr>
          <w:trHeight w:val="1020"/>
          <w:jc w:val="center"/>
        </w:trPr>
        <w:tc>
          <w:tcPr>
            <w:tcW w:w="1598" w:type="dxa"/>
            <w:vMerge w:val="restart"/>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Local Capacity Area</w:t>
            </w:r>
          </w:p>
        </w:tc>
        <w:tc>
          <w:tcPr>
            <w:tcW w:w="1128"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Accounts</w:t>
            </w:r>
          </w:p>
        </w:tc>
        <w:tc>
          <w:tcPr>
            <w:tcW w:w="1943"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Avg. Customer Reference Load</w:t>
            </w:r>
          </w:p>
        </w:tc>
        <w:tc>
          <w:tcPr>
            <w:tcW w:w="1447"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Avg. Customer Load w/ DR</w:t>
            </w:r>
          </w:p>
        </w:tc>
        <w:tc>
          <w:tcPr>
            <w:tcW w:w="861"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Impact</w:t>
            </w:r>
          </w:p>
        </w:tc>
        <w:tc>
          <w:tcPr>
            <w:tcW w:w="1206"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Aggregate Impact</w:t>
            </w:r>
          </w:p>
        </w:tc>
        <w:tc>
          <w:tcPr>
            <w:tcW w:w="1194"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 Reduction</w:t>
            </w:r>
          </w:p>
        </w:tc>
        <w:tc>
          <w:tcPr>
            <w:tcW w:w="1000" w:type="dxa"/>
            <w:tcBorders>
              <w:top w:val="single" w:sz="4" w:space="0" w:color="000000"/>
              <w:left w:val="nil"/>
              <w:bottom w:val="single" w:sz="4" w:space="0" w:color="FFFFFF"/>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Avg. Temp</w:t>
            </w:r>
          </w:p>
        </w:tc>
        <w:tc>
          <w:tcPr>
            <w:tcW w:w="318" w:type="dxa"/>
            <w:tcBorders>
              <w:top w:val="single" w:sz="4" w:space="0" w:color="000000"/>
              <w:left w:val="nil"/>
              <w:bottom w:val="single" w:sz="4" w:space="0" w:color="FFFFFF"/>
              <w:right w:val="single" w:sz="4" w:space="0" w:color="000000"/>
            </w:tcBorders>
            <w:shd w:val="clear" w:color="auto" w:fill="0070CD"/>
            <w:vAlign w:val="center"/>
            <w:hideMark/>
          </w:tcPr>
          <w:p w:rsidR="006A7080" w:rsidRPr="009E1CA8" w:rsidRDefault="006A7080">
            <w:pPr>
              <w:pStyle w:val="TableHeader"/>
              <w:rPr>
                <w:rFonts w:eastAsia="Times New Roman"/>
                <w:szCs w:val="20"/>
              </w:rPr>
            </w:pPr>
            <w:r w:rsidRPr="009E1CA8">
              <w:rPr>
                <w:rFonts w:eastAsia="Times New Roman"/>
                <w:szCs w:val="20"/>
              </w:rPr>
              <w:t xml:space="preserve">Stat. </w:t>
            </w:r>
            <w:r w:rsidR="00790BCD">
              <w:rPr>
                <w:rFonts w:eastAsia="Times New Roman"/>
                <w:szCs w:val="20"/>
              </w:rPr>
              <w:t>S</w:t>
            </w:r>
            <w:r w:rsidRPr="009E1CA8">
              <w:rPr>
                <w:rFonts w:eastAsia="Times New Roman"/>
                <w:szCs w:val="20"/>
              </w:rPr>
              <w:t>ig?</w:t>
            </w:r>
          </w:p>
        </w:tc>
      </w:tr>
      <w:tr w:rsidR="008028DC" w:rsidRPr="009E1CA8" w:rsidTr="008028DC">
        <w:trPr>
          <w:trHeight w:val="300"/>
          <w:jc w:val="center"/>
        </w:trPr>
        <w:tc>
          <w:tcPr>
            <w:tcW w:w="1598" w:type="dxa"/>
            <w:vMerge/>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p>
        </w:tc>
        <w:tc>
          <w:tcPr>
            <w:tcW w:w="1128"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9E1CA8" w:rsidRDefault="006A7080" w:rsidP="00283EC7">
            <w:pPr>
              <w:pStyle w:val="TableHeader"/>
              <w:rPr>
                <w:rFonts w:eastAsia="Times New Roman"/>
                <w:szCs w:val="20"/>
              </w:rPr>
            </w:pPr>
          </w:p>
        </w:tc>
        <w:tc>
          <w:tcPr>
            <w:tcW w:w="1943"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(kW)</w:t>
            </w:r>
          </w:p>
        </w:tc>
        <w:tc>
          <w:tcPr>
            <w:tcW w:w="1447"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(kW)</w:t>
            </w:r>
          </w:p>
        </w:tc>
        <w:tc>
          <w:tcPr>
            <w:tcW w:w="861"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(kW)</w:t>
            </w:r>
          </w:p>
        </w:tc>
        <w:tc>
          <w:tcPr>
            <w:tcW w:w="1206"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(MW)</w:t>
            </w:r>
          </w:p>
        </w:tc>
        <w:tc>
          <w:tcPr>
            <w:tcW w:w="1194"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w:t>
            </w:r>
          </w:p>
        </w:tc>
        <w:tc>
          <w:tcPr>
            <w:tcW w:w="1000" w:type="dxa"/>
            <w:tcBorders>
              <w:top w:val="nil"/>
              <w:left w:val="nil"/>
              <w:bottom w:val="single" w:sz="4" w:space="0" w:color="000000"/>
              <w:right w:val="single" w:sz="4" w:space="0" w:color="FFFFFF"/>
            </w:tcBorders>
            <w:shd w:val="clear" w:color="auto" w:fill="0070CD"/>
            <w:noWrap/>
            <w:vAlign w:val="center"/>
            <w:hideMark/>
          </w:tcPr>
          <w:p w:rsidR="006A7080" w:rsidRPr="009E1CA8" w:rsidRDefault="006A7080" w:rsidP="00283EC7">
            <w:pPr>
              <w:pStyle w:val="TableHeader"/>
              <w:rPr>
                <w:rFonts w:eastAsia="Times New Roman"/>
                <w:szCs w:val="20"/>
              </w:rPr>
            </w:pPr>
            <w:r w:rsidRPr="009E1CA8">
              <w:rPr>
                <w:rFonts w:eastAsia="Times New Roman"/>
                <w:szCs w:val="20"/>
              </w:rPr>
              <w:t>(°F)</w:t>
            </w:r>
          </w:p>
        </w:tc>
        <w:tc>
          <w:tcPr>
            <w:tcW w:w="318" w:type="dxa"/>
            <w:tcBorders>
              <w:top w:val="nil"/>
              <w:left w:val="nil"/>
              <w:bottom w:val="single" w:sz="4" w:space="0" w:color="000000"/>
              <w:right w:val="single" w:sz="4" w:space="0" w:color="000000"/>
            </w:tcBorders>
            <w:shd w:val="clear" w:color="auto" w:fill="0070CD"/>
            <w:vAlign w:val="center"/>
            <w:hideMark/>
          </w:tcPr>
          <w:p w:rsidR="006A7080" w:rsidRPr="009E1CA8" w:rsidRDefault="006A7080" w:rsidP="00283EC7">
            <w:pPr>
              <w:pStyle w:val="TableHeader"/>
              <w:rPr>
                <w:rFonts w:eastAsia="Times New Roman"/>
                <w:szCs w:val="20"/>
              </w:rPr>
            </w:pPr>
            <w:r w:rsidRPr="009E1CA8">
              <w:rPr>
                <w:rFonts w:eastAsia="Times New Roman"/>
                <w:szCs w:val="20"/>
              </w:rPr>
              <w:t> </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Greater Bay Area</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812</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316.2</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303.7</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12.5</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10.2</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4.0%</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79.8</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Greater Fresno Area</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200</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250.3</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213.9</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36.4</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7.3</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14.6%</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101.6</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Humboldt</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22</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179.3</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154.2</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25.1</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0.6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14.0%</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83.4</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Kern</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222</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284.7</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256.8</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28.0</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6.2</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9.8%</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102.0</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LCA: Other</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318</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245.1</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209.0</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36.1</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11.5</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14.7%</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87.5</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North Coast and North Bay</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46</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266.0</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251.9</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14.0</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0.6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5.3%</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87.8</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Sierra</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70</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187.5</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166.8</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20.7</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1.5</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11.1%</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97.2</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r w:rsidR="006A7080" w:rsidRPr="009E1CA8" w:rsidTr="008028DC">
        <w:trPr>
          <w:trHeight w:val="300"/>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Stockton</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123</w:t>
            </w:r>
          </w:p>
        </w:tc>
        <w:tc>
          <w:tcPr>
            <w:tcW w:w="1943"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217.5</w:t>
            </w:r>
          </w:p>
        </w:tc>
        <w:tc>
          <w:tcPr>
            <w:tcW w:w="1447"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192.0</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25.4</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3.1</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11.7%</w:t>
            </w:r>
          </w:p>
        </w:tc>
        <w:tc>
          <w:tcPr>
            <w:tcW w:w="1000"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97.4</w:t>
            </w:r>
          </w:p>
        </w:tc>
        <w:tc>
          <w:tcPr>
            <w:tcW w:w="318" w:type="dxa"/>
            <w:tcBorders>
              <w:top w:val="nil"/>
              <w:left w:val="nil"/>
              <w:bottom w:val="single" w:sz="4" w:space="0" w:color="auto"/>
              <w:right w:val="single" w:sz="4" w:space="0" w:color="auto"/>
            </w:tcBorders>
            <w:shd w:val="clear" w:color="auto" w:fill="auto"/>
            <w:noWrap/>
            <w:vAlign w:val="center"/>
            <w:hideMark/>
          </w:tcPr>
          <w:p w:rsidR="006A7080" w:rsidRPr="009E1CA8" w:rsidRDefault="006A7080" w:rsidP="00283EC7">
            <w:pPr>
              <w:pStyle w:val="TableText"/>
              <w:rPr>
                <w:rFonts w:eastAsia="Times New Roman"/>
                <w:szCs w:val="20"/>
              </w:rPr>
            </w:pPr>
            <w:r w:rsidRPr="009E1CA8">
              <w:rPr>
                <w:rFonts w:eastAsia="Times New Roman"/>
                <w:szCs w:val="20"/>
              </w:rPr>
              <w:t>Yes</w:t>
            </w:r>
          </w:p>
        </w:tc>
      </w:tr>
    </w:tbl>
    <w:p w:rsidR="006A7080" w:rsidRPr="00332A23" w:rsidRDefault="006A7080" w:rsidP="006A7080">
      <w:pPr>
        <w:pStyle w:val="Footnote"/>
        <w:ind w:left="720"/>
        <w:jc w:val="both"/>
      </w:pPr>
      <w:r w:rsidRPr="008E6FED">
        <w:t>*</w:t>
      </w:r>
      <w:r>
        <w:t xml:space="preserve"> Summations across segmentation categories may not equal totals presented for all customers on the average event day (Table 4-1)</w:t>
      </w:r>
      <w:proofErr w:type="gramStart"/>
      <w:r>
        <w:t xml:space="preserve">. </w:t>
      </w:r>
      <w:r w:rsidR="00790BCD">
        <w:t xml:space="preserve"> </w:t>
      </w:r>
      <w:proofErr w:type="gramEnd"/>
      <w:r>
        <w:t>Sector specific estimates required estimation of separate difference-in-differences models and can result on rounding errors.</w:t>
      </w:r>
    </w:p>
    <w:p w:rsidR="006A7080" w:rsidRDefault="006A7080" w:rsidP="006A7080">
      <w:pPr>
        <w:pStyle w:val="TableFigureCaption"/>
        <w:spacing w:before="120"/>
      </w:pPr>
      <w:r>
        <w:lastRenderedPageBreak/>
        <w:t>Figure 4-4</w:t>
      </w:r>
      <w:r w:rsidRPr="00CC2111">
        <w:t xml:space="preserve">: </w:t>
      </w:r>
      <w:r>
        <w:t xml:space="preserve">Default CPP </w:t>
      </w:r>
      <w:r w:rsidRPr="00D963CC">
        <w:t xml:space="preserve">Enrollment, </w:t>
      </w:r>
      <w:r>
        <w:t xml:space="preserve">Load and </w:t>
      </w:r>
      <w:r w:rsidRPr="00D963CC">
        <w:t>Impact</w:t>
      </w:r>
      <w:r>
        <w:t xml:space="preserve"> by LCA</w:t>
      </w:r>
      <w:r w:rsidRPr="00D963CC">
        <w:br/>
      </w:r>
      <w:r>
        <w:t>Average 2014 PG</w:t>
      </w:r>
      <w:r w:rsidRPr="00F538E3">
        <w:t>&amp;E CPP Event</w:t>
      </w:r>
      <w:r>
        <w:t xml:space="preserve"> (2 to 6 PM)</w:t>
      </w:r>
    </w:p>
    <w:p w:rsidR="006A7080" w:rsidRDefault="006A7080" w:rsidP="006A7080">
      <w:pPr>
        <w:pStyle w:val="Footnote"/>
        <w:jc w:val="center"/>
      </w:pPr>
      <w:r>
        <w:rPr>
          <w:noProof/>
        </w:rPr>
        <w:drawing>
          <wp:inline distT="0" distB="0" distL="0" distR="0" wp14:anchorId="4BF06E07" wp14:editId="61B9E226">
            <wp:extent cx="5943600" cy="195961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43600" cy="1959610"/>
                    </a:xfrm>
                    <a:prstGeom prst="rect">
                      <a:avLst/>
                    </a:prstGeom>
                  </pic:spPr>
                </pic:pic>
              </a:graphicData>
            </a:graphic>
          </wp:inline>
        </w:drawing>
      </w:r>
    </w:p>
    <w:p w:rsidR="006A7080" w:rsidRDefault="006A7080" w:rsidP="006A7080">
      <w:pPr>
        <w:pStyle w:val="BodyParaAfterTableFigure"/>
      </w:pPr>
      <w:r>
        <w:t>Table 4</w:t>
      </w:r>
      <w:r w:rsidR="009E1CA8">
        <w:t>-4</w:t>
      </w:r>
      <w:r>
        <w:t xml:space="preserve"> shows the estimated ex post load impact by customer size, using two different size categorization methods</w:t>
      </w:r>
      <w:proofErr w:type="gramStart"/>
      <w:r>
        <w:t xml:space="preserve">.  </w:t>
      </w:r>
      <w:proofErr w:type="gramEnd"/>
      <w:r>
        <w:t>First, load impacts are reported for the three demand size categories: greater than 200 kW</w:t>
      </w:r>
      <w:r w:rsidR="00790BCD">
        <w:t>;</w:t>
      </w:r>
      <w:r>
        <w:t xml:space="preserve"> 20 kW</w:t>
      </w:r>
      <w:r w:rsidR="009E1CA8">
        <w:t xml:space="preserve"> to 200 kW</w:t>
      </w:r>
      <w:r w:rsidR="00790BCD">
        <w:t>;</w:t>
      </w:r>
      <w:r>
        <w:t xml:space="preserve"> and less than 20kW</w:t>
      </w:r>
      <w:proofErr w:type="gramStart"/>
      <w:r>
        <w:t xml:space="preserve">.  </w:t>
      </w:r>
      <w:proofErr w:type="gramEnd"/>
      <w:r>
        <w:t>The other size cate</w:t>
      </w:r>
      <w:r w:rsidR="009E1CA8">
        <w:t>gorization is by usage quintile, in which</w:t>
      </w:r>
      <w:r>
        <w:t xml:space="preserve"> default CPP customers were assigned to a usage quintile based on annual consumption</w:t>
      </w:r>
      <w:proofErr w:type="gramStart"/>
      <w:r>
        <w:t xml:space="preserve">.  </w:t>
      </w:r>
      <w:proofErr w:type="gramEnd"/>
      <w:r>
        <w:t xml:space="preserve">This metric of customer size is more useful than the demand response size categories because it provides estimates for a broad spectrum of customer sizes, where the segments all have sample sizes large enough to support reasonable estimates, which is </w:t>
      </w:r>
      <w:r w:rsidR="009E1CA8">
        <w:t>a shortcoming</w:t>
      </w:r>
      <w:r>
        <w:t xml:space="preserve"> of using the demand response size categories</w:t>
      </w:r>
      <w:r w:rsidR="009E1CA8">
        <w:t xml:space="preserve"> for default CPP</w:t>
      </w:r>
      <w:proofErr w:type="gramStart"/>
      <w:r>
        <w:t xml:space="preserve">.  </w:t>
      </w:r>
      <w:proofErr w:type="gramEnd"/>
      <w:r>
        <w:t>In fact, the load impact for the &lt; 20 kW size category is insignificant, owing principally to the fact that there are only 60 customers in that category</w:t>
      </w:r>
      <w:proofErr w:type="gramStart"/>
      <w:r>
        <w:t xml:space="preserve">.  </w:t>
      </w:r>
      <w:r w:rsidR="009E1CA8">
        <w:t>Table</w:t>
      </w:r>
      <w:r w:rsidR="00790BCD">
        <w:t xml:space="preserve"> 4-4</w:t>
      </w:r>
      <w:r>
        <w:t xml:space="preserve"> shows that customers in the smallest and the largest usage quintiles have the largest percentage load impacts while the 4th quintile has the lowest percentage load impacts.</w:t>
      </w:r>
      <w:proofErr w:type="gramEnd"/>
    </w:p>
    <w:p w:rsidR="006A7080" w:rsidRDefault="006A7080" w:rsidP="009E1CA8">
      <w:pPr>
        <w:pStyle w:val="TableFigureCaption"/>
      </w:pPr>
      <w:r w:rsidRPr="00800D95">
        <w:lastRenderedPageBreak/>
        <w:t>Table 4-</w:t>
      </w:r>
      <w:r>
        <w:t>4</w:t>
      </w:r>
      <w:r w:rsidRPr="00800D95">
        <w:t>: Default CPP Ex Post Load Impact Estimates by Customer Size</w:t>
      </w:r>
      <w:r w:rsidRPr="00800D95">
        <w:br/>
      </w:r>
      <w:bookmarkStart w:id="106" w:name="_Toc289178010"/>
      <w:bookmarkStart w:id="107" w:name="_Toc326072110"/>
      <w:bookmarkStart w:id="108" w:name="_Toc352323634"/>
      <w:r w:rsidRPr="00800D95">
        <w:t>Average 2013 PG&amp;E CPP Event (2</w:t>
      </w:r>
      <w:r w:rsidR="004C74AD">
        <w:t xml:space="preserve"> to </w:t>
      </w:r>
      <w:r w:rsidRPr="00800D95">
        <w:t>6 PM)</w:t>
      </w:r>
      <w:r>
        <w:t>*</w:t>
      </w:r>
      <w:r w:rsidRPr="0059228B">
        <w:t xml:space="preserve"> </w:t>
      </w:r>
    </w:p>
    <w:tbl>
      <w:tblPr>
        <w:tblW w:w="11189" w:type="dxa"/>
        <w:jc w:val="center"/>
        <w:tblInd w:w="-1205" w:type="dxa"/>
        <w:tblLayout w:type="fixed"/>
        <w:tblLook w:val="04A0" w:firstRow="1" w:lastRow="0" w:firstColumn="1" w:lastColumn="0" w:noHBand="0" w:noVBand="1"/>
      </w:tblPr>
      <w:tblGrid>
        <w:gridCol w:w="1507"/>
        <w:gridCol w:w="1080"/>
        <w:gridCol w:w="1080"/>
        <w:gridCol w:w="1530"/>
        <w:gridCol w:w="1350"/>
        <w:gridCol w:w="810"/>
        <w:gridCol w:w="1170"/>
        <w:gridCol w:w="1132"/>
        <w:gridCol w:w="720"/>
        <w:gridCol w:w="810"/>
      </w:tblGrid>
      <w:tr w:rsidR="008028DC" w:rsidRPr="009E1CA8" w:rsidTr="008028DC">
        <w:trPr>
          <w:trHeight w:val="827"/>
          <w:jc w:val="center"/>
        </w:trPr>
        <w:tc>
          <w:tcPr>
            <w:tcW w:w="1507" w:type="dxa"/>
            <w:vMerge w:val="restart"/>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Categorization</w:t>
            </w:r>
          </w:p>
        </w:tc>
        <w:tc>
          <w:tcPr>
            <w:tcW w:w="1080"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Size Category</w:t>
            </w:r>
          </w:p>
        </w:tc>
        <w:tc>
          <w:tcPr>
            <w:tcW w:w="1080"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Accounts</w:t>
            </w:r>
          </w:p>
        </w:tc>
        <w:tc>
          <w:tcPr>
            <w:tcW w:w="1530"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Avg. Customer Reference Load</w:t>
            </w:r>
          </w:p>
        </w:tc>
        <w:tc>
          <w:tcPr>
            <w:tcW w:w="1350"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Avg. Customer Load w/ DR</w:t>
            </w:r>
          </w:p>
        </w:tc>
        <w:tc>
          <w:tcPr>
            <w:tcW w:w="810"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Impact</w:t>
            </w:r>
          </w:p>
        </w:tc>
        <w:tc>
          <w:tcPr>
            <w:tcW w:w="1170"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Aggregate Impact</w:t>
            </w:r>
          </w:p>
        </w:tc>
        <w:tc>
          <w:tcPr>
            <w:tcW w:w="1132"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 Reduction</w:t>
            </w:r>
          </w:p>
        </w:tc>
        <w:tc>
          <w:tcPr>
            <w:tcW w:w="720" w:type="dxa"/>
            <w:tcBorders>
              <w:top w:val="single" w:sz="4" w:space="0" w:color="000000"/>
              <w:left w:val="nil"/>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Avg. Temp</w:t>
            </w:r>
          </w:p>
        </w:tc>
        <w:tc>
          <w:tcPr>
            <w:tcW w:w="810" w:type="dxa"/>
            <w:vMerge w:val="restart"/>
            <w:tcBorders>
              <w:top w:val="single" w:sz="4" w:space="0" w:color="000000"/>
              <w:left w:val="single" w:sz="4" w:space="0" w:color="FFFFFF"/>
              <w:bottom w:val="single" w:sz="4" w:space="0" w:color="000000"/>
              <w:right w:val="single" w:sz="4" w:space="0" w:color="000000"/>
            </w:tcBorders>
            <w:shd w:val="clear" w:color="auto" w:fill="0070CD"/>
            <w:vAlign w:val="center"/>
            <w:hideMark/>
          </w:tcPr>
          <w:p w:rsidR="006A7080" w:rsidRPr="00790BCD" w:rsidRDefault="006A7080">
            <w:pPr>
              <w:pStyle w:val="TableHeader"/>
              <w:keepNext/>
              <w:rPr>
                <w:rFonts w:eastAsia="Times New Roman"/>
                <w:sz w:val="18"/>
                <w:szCs w:val="18"/>
              </w:rPr>
            </w:pPr>
            <w:r w:rsidRPr="00790BCD">
              <w:rPr>
                <w:rFonts w:eastAsia="Times New Roman"/>
                <w:sz w:val="18"/>
                <w:szCs w:val="18"/>
              </w:rPr>
              <w:t xml:space="preserve">Stat. </w:t>
            </w:r>
            <w:r w:rsidR="00790BCD" w:rsidRPr="00790BCD">
              <w:rPr>
                <w:rFonts w:eastAsia="Times New Roman"/>
                <w:sz w:val="18"/>
                <w:szCs w:val="18"/>
              </w:rPr>
              <w:t>S</w:t>
            </w:r>
            <w:r w:rsidRPr="00790BCD">
              <w:rPr>
                <w:rFonts w:eastAsia="Times New Roman"/>
                <w:sz w:val="18"/>
                <w:szCs w:val="18"/>
              </w:rPr>
              <w:t>ig?</w:t>
            </w:r>
          </w:p>
        </w:tc>
      </w:tr>
      <w:tr w:rsidR="008028DC" w:rsidRPr="009E1CA8" w:rsidTr="008028DC">
        <w:trPr>
          <w:trHeight w:val="300"/>
          <w:jc w:val="center"/>
        </w:trPr>
        <w:tc>
          <w:tcPr>
            <w:tcW w:w="1507" w:type="dxa"/>
            <w:vMerge/>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p>
        </w:tc>
        <w:tc>
          <w:tcPr>
            <w:tcW w:w="1080"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p>
        </w:tc>
        <w:tc>
          <w:tcPr>
            <w:tcW w:w="1080"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790BCD" w:rsidRDefault="006A7080" w:rsidP="009E1CA8">
            <w:pPr>
              <w:pStyle w:val="TableHeader"/>
              <w:keepNext/>
              <w:rPr>
                <w:rFonts w:eastAsia="Times New Roman"/>
                <w:sz w:val="18"/>
                <w:szCs w:val="18"/>
              </w:rPr>
            </w:pPr>
          </w:p>
        </w:tc>
        <w:tc>
          <w:tcPr>
            <w:tcW w:w="1530"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(kW)</w:t>
            </w:r>
          </w:p>
        </w:tc>
        <w:tc>
          <w:tcPr>
            <w:tcW w:w="1350"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(kW)</w:t>
            </w:r>
          </w:p>
        </w:tc>
        <w:tc>
          <w:tcPr>
            <w:tcW w:w="810"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(kW)</w:t>
            </w:r>
          </w:p>
        </w:tc>
        <w:tc>
          <w:tcPr>
            <w:tcW w:w="1170"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(MW)</w:t>
            </w:r>
          </w:p>
        </w:tc>
        <w:tc>
          <w:tcPr>
            <w:tcW w:w="1132"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w:t>
            </w:r>
          </w:p>
        </w:tc>
        <w:tc>
          <w:tcPr>
            <w:tcW w:w="720" w:type="dxa"/>
            <w:tcBorders>
              <w:top w:val="nil"/>
              <w:left w:val="nil"/>
              <w:bottom w:val="single" w:sz="4" w:space="0" w:color="000000"/>
              <w:right w:val="single" w:sz="4" w:space="0" w:color="FFFFFF"/>
            </w:tcBorders>
            <w:shd w:val="clear" w:color="auto" w:fill="0070CD"/>
            <w:noWrap/>
            <w:vAlign w:val="center"/>
            <w:hideMark/>
          </w:tcPr>
          <w:p w:rsidR="006A7080" w:rsidRPr="00790BCD" w:rsidRDefault="006A7080" w:rsidP="009E1CA8">
            <w:pPr>
              <w:pStyle w:val="TableHeader"/>
              <w:keepNext/>
              <w:rPr>
                <w:rFonts w:eastAsia="Times New Roman"/>
                <w:sz w:val="18"/>
                <w:szCs w:val="18"/>
              </w:rPr>
            </w:pPr>
            <w:r w:rsidRPr="00790BCD">
              <w:rPr>
                <w:rFonts w:eastAsia="Times New Roman"/>
                <w:sz w:val="18"/>
                <w:szCs w:val="18"/>
              </w:rPr>
              <w:t>(°F)</w:t>
            </w:r>
          </w:p>
        </w:tc>
        <w:tc>
          <w:tcPr>
            <w:tcW w:w="810" w:type="dxa"/>
            <w:vMerge/>
            <w:tcBorders>
              <w:top w:val="single" w:sz="4" w:space="0" w:color="000000"/>
              <w:left w:val="single" w:sz="4" w:space="0" w:color="FFFFFF"/>
              <w:bottom w:val="single" w:sz="4" w:space="0" w:color="000000"/>
              <w:right w:val="single" w:sz="4" w:space="0" w:color="000000"/>
            </w:tcBorders>
            <w:shd w:val="clear" w:color="auto" w:fill="0070CD"/>
            <w:vAlign w:val="center"/>
            <w:hideMark/>
          </w:tcPr>
          <w:p w:rsidR="006A7080" w:rsidRPr="00790BCD" w:rsidRDefault="006A7080" w:rsidP="009E1CA8">
            <w:pPr>
              <w:pStyle w:val="TableHeader"/>
              <w:keepNext/>
              <w:rPr>
                <w:rFonts w:eastAsia="Times New Roman"/>
                <w:sz w:val="18"/>
                <w:szCs w:val="18"/>
              </w:rPr>
            </w:pPr>
          </w:p>
        </w:tc>
      </w:tr>
      <w:tr w:rsidR="00745B82" w:rsidRPr="009E1CA8" w:rsidTr="008028DC">
        <w:trPr>
          <w:trHeight w:val="300"/>
          <w:jc w:val="center"/>
        </w:trPr>
        <w:tc>
          <w:tcPr>
            <w:tcW w:w="15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By Demand Response Category</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Greater than 200kW</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1,602</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306.4</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281.6</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24.7</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39.6</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8.1%</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87.9</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single" w:sz="4" w:space="0" w:color="auto"/>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20 kW to 199.99 kW</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149</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87.9</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81.6</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6.3</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0.9</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7.1%</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88.8</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single" w:sz="4" w:space="0" w:color="auto"/>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Less than 20kW</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60</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1.4</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1.1</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0.3</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0.0</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22.4%</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102.0</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No</w:t>
            </w:r>
          </w:p>
        </w:tc>
      </w:tr>
      <w:tr w:rsidR="00745B82" w:rsidRPr="009E1CA8" w:rsidTr="008028DC">
        <w:trPr>
          <w:trHeight w:val="300"/>
          <w:jc w:val="center"/>
        </w:trPr>
        <w:tc>
          <w:tcPr>
            <w:tcW w:w="1507" w:type="dxa"/>
            <w:vMerge w:val="restart"/>
            <w:tcBorders>
              <w:top w:val="nil"/>
              <w:left w:val="single" w:sz="4" w:space="0" w:color="auto"/>
              <w:bottom w:val="single" w:sz="4" w:space="0" w:color="auto"/>
              <w:right w:val="single" w:sz="4" w:space="0" w:color="auto"/>
            </w:tcBorders>
            <w:shd w:val="clear" w:color="auto" w:fill="auto"/>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By Annual Consumption Quintiles</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5th Quintile</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375</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710.3</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645.1</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65.2</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24.5</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9.2%</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85.4</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nil"/>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4th Quintile</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354</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290.3</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274.9</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15.4</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5.5</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5.3%</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86.1</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nil"/>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3rd Quintile</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361</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194.2</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182.8</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11.5</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4.1</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5.9%</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87.3</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nil"/>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2nd Quintile</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353</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129.0</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116.9</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12.1</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4.3</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9.4%</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89.5</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r w:rsidR="00745B82" w:rsidRPr="009E1CA8" w:rsidTr="008028DC">
        <w:trPr>
          <w:trHeight w:val="300"/>
          <w:jc w:val="center"/>
        </w:trPr>
        <w:tc>
          <w:tcPr>
            <w:tcW w:w="1507" w:type="dxa"/>
            <w:vMerge/>
            <w:tcBorders>
              <w:top w:val="nil"/>
              <w:left w:val="single" w:sz="4" w:space="0" w:color="auto"/>
              <w:bottom w:val="single" w:sz="4" w:space="0" w:color="auto"/>
              <w:right w:val="single" w:sz="4" w:space="0" w:color="auto"/>
            </w:tcBorders>
            <w:vAlign w:val="center"/>
            <w:hideMark/>
          </w:tcPr>
          <w:p w:rsidR="006A7080" w:rsidRPr="00790BCD" w:rsidRDefault="006A7080" w:rsidP="009E1CA8">
            <w:pPr>
              <w:pStyle w:val="TableText"/>
              <w:keepNext/>
              <w:rPr>
                <w:rFonts w:eastAsia="Times New Roman"/>
                <w:sz w:val="18"/>
                <w:szCs w:val="18"/>
              </w:rPr>
            </w:pP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1st Quintile</w:t>
            </w:r>
          </w:p>
        </w:tc>
        <w:tc>
          <w:tcPr>
            <w:tcW w:w="108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371</w:t>
            </w:r>
          </w:p>
        </w:tc>
        <w:tc>
          <w:tcPr>
            <w:tcW w:w="153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52.4</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45.4</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7.0</w:t>
            </w:r>
          </w:p>
        </w:tc>
        <w:tc>
          <w:tcPr>
            <w:tcW w:w="117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2.6</w:t>
            </w:r>
          </w:p>
        </w:tc>
        <w:tc>
          <w:tcPr>
            <w:tcW w:w="1132"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13.4%</w:t>
            </w:r>
          </w:p>
        </w:tc>
        <w:tc>
          <w:tcPr>
            <w:tcW w:w="72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93.6</w:t>
            </w:r>
          </w:p>
        </w:tc>
        <w:tc>
          <w:tcPr>
            <w:tcW w:w="810" w:type="dxa"/>
            <w:tcBorders>
              <w:top w:val="nil"/>
              <w:left w:val="nil"/>
              <w:bottom w:val="single" w:sz="4" w:space="0" w:color="auto"/>
              <w:right w:val="single" w:sz="4" w:space="0" w:color="auto"/>
            </w:tcBorders>
            <w:shd w:val="clear" w:color="auto" w:fill="auto"/>
            <w:noWrap/>
            <w:vAlign w:val="center"/>
            <w:hideMark/>
          </w:tcPr>
          <w:p w:rsidR="006A7080" w:rsidRPr="00790BCD" w:rsidRDefault="006A7080" w:rsidP="009E1CA8">
            <w:pPr>
              <w:pStyle w:val="TableText"/>
              <w:keepNext/>
              <w:rPr>
                <w:rFonts w:eastAsia="Times New Roman"/>
                <w:sz w:val="18"/>
                <w:szCs w:val="18"/>
              </w:rPr>
            </w:pPr>
            <w:r w:rsidRPr="00790BCD">
              <w:rPr>
                <w:rFonts w:eastAsia="Times New Roman"/>
                <w:sz w:val="18"/>
                <w:szCs w:val="18"/>
              </w:rPr>
              <w:t>Yes</w:t>
            </w:r>
          </w:p>
        </w:tc>
      </w:tr>
    </w:tbl>
    <w:p w:rsidR="006A7080" w:rsidRPr="00332A23" w:rsidRDefault="006A7080" w:rsidP="009E1CA8">
      <w:pPr>
        <w:pStyle w:val="Footnote"/>
        <w:keepNext/>
        <w:ind w:left="720"/>
        <w:jc w:val="both"/>
      </w:pPr>
      <w:r w:rsidRPr="008E6FED">
        <w:t>*</w:t>
      </w:r>
      <w:r>
        <w:t xml:space="preserve"> Summations across segmentation categories may not equal totals presented for all customers on the average event day (Table 4-1)</w:t>
      </w:r>
      <w:proofErr w:type="gramStart"/>
      <w:r>
        <w:t xml:space="preserve">.  </w:t>
      </w:r>
      <w:proofErr w:type="gramEnd"/>
      <w:r>
        <w:t>Sector specific estimates required estimation of separate difference-in-differences models and can result on rounding errors.</w:t>
      </w:r>
    </w:p>
    <w:p w:rsidR="006A7080" w:rsidRDefault="006A7080" w:rsidP="006A7080">
      <w:pPr>
        <w:pStyle w:val="Heading2"/>
        <w:spacing w:before="360"/>
        <w:ind w:left="547" w:hanging="547"/>
      </w:pPr>
      <w:bookmarkStart w:id="109" w:name="_Toc412650593"/>
      <w:bookmarkStart w:id="110" w:name="_Toc415494766"/>
      <w:r>
        <w:t xml:space="preserve">Load </w:t>
      </w:r>
      <w:r w:rsidRPr="00AD6E36">
        <w:t>Impacts</w:t>
      </w:r>
      <w:r>
        <w:t xml:space="preserve"> for Multi-DR P</w:t>
      </w:r>
      <w:r>
        <w:rPr>
          <w:rFonts w:hint="eastAsia"/>
        </w:rPr>
        <w:t>rogra</w:t>
      </w:r>
      <w:r>
        <w:t>m Participants</w:t>
      </w:r>
      <w:bookmarkEnd w:id="106"/>
      <w:bookmarkEnd w:id="107"/>
      <w:bookmarkEnd w:id="108"/>
      <w:bookmarkEnd w:id="109"/>
      <w:bookmarkEnd w:id="110"/>
    </w:p>
    <w:p w:rsidR="006A7080" w:rsidRDefault="006A7080" w:rsidP="006A7080">
      <w:pPr>
        <w:pStyle w:val="BodyBeforeBullet"/>
      </w:pPr>
      <w:r>
        <w:t>PG&amp;E CPP participants are allowed to dually enroll in certain other DR programs</w:t>
      </w:r>
      <w:proofErr w:type="gramStart"/>
      <w:r>
        <w:t xml:space="preserve">.  </w:t>
      </w:r>
      <w:proofErr w:type="gramEnd"/>
      <w:r>
        <w:t>To avoid double counting load impacts when multiple DR programs are called, it is necessary to estimate the demand response under the CPP tariff for customers that are dually enrolled in other programs</w:t>
      </w:r>
      <w:proofErr w:type="gramStart"/>
      <w:r>
        <w:t xml:space="preserve">.  </w:t>
      </w:r>
      <w:proofErr w:type="gramEnd"/>
      <w:r>
        <w:t xml:space="preserve">CPP customers at PG&amp;E may also participate in the following DR programs: </w:t>
      </w:r>
    </w:p>
    <w:p w:rsidR="006A7080" w:rsidRDefault="006A7080" w:rsidP="006A7080">
      <w:pPr>
        <w:pStyle w:val="Bullets"/>
        <w:tabs>
          <w:tab w:val="num" w:pos="720"/>
        </w:tabs>
        <w:ind w:left="720"/>
      </w:pPr>
      <w:r>
        <w:rPr>
          <w:b/>
        </w:rPr>
        <w:t>Aggregator Managed Portfolio (AMP</w:t>
      </w:r>
      <w:r w:rsidRPr="00D42AC6">
        <w:rPr>
          <w:b/>
        </w:rPr>
        <w:t>):</w:t>
      </w:r>
      <w:r w:rsidRPr="00BB6C1C">
        <w:t xml:space="preserve"> </w:t>
      </w:r>
      <w:r>
        <w:t>A</w:t>
      </w:r>
      <w:r w:rsidRPr="00BB6C1C">
        <w:t xml:space="preserve"> non-tariff program that consists of bilateral contracts with aggregators to provide PG&amp;E with price-responsive demand response</w:t>
      </w:r>
      <w:proofErr w:type="gramStart"/>
      <w:r w:rsidRPr="00BB6C1C">
        <w:t xml:space="preserve">. </w:t>
      </w:r>
      <w:r>
        <w:t xml:space="preserve"> </w:t>
      </w:r>
      <w:proofErr w:type="gramEnd"/>
      <w:r>
        <w:t>AMP events are</w:t>
      </w:r>
      <w:r w:rsidRPr="00BB6C1C">
        <w:t xml:space="preserve"> called at PG&amp;E’s discretion</w:t>
      </w:r>
      <w:proofErr w:type="gramStart"/>
      <w:r w:rsidRPr="00BB6C1C">
        <w:t xml:space="preserve">. </w:t>
      </w:r>
      <w:r>
        <w:t xml:space="preserve"> </w:t>
      </w:r>
      <w:proofErr w:type="gramEnd"/>
      <w:r w:rsidRPr="00BB6C1C">
        <w:t>Each aggregator is responsible for designing and implementing</w:t>
      </w:r>
      <w:r>
        <w:t xml:space="preserve"> its own program</w:t>
      </w:r>
      <w:r w:rsidRPr="00BB6C1C">
        <w:t>, including customer acquisition, marketing, sales, retention, support, event notification and payments</w:t>
      </w:r>
      <w:proofErr w:type="gramStart"/>
      <w:r w:rsidRPr="00BB6C1C">
        <w:t>.</w:t>
      </w:r>
      <w:r>
        <w:t xml:space="preserve">  </w:t>
      </w:r>
      <w:proofErr w:type="gramEnd"/>
      <w:r>
        <w:t>Customers taking CPP may only dually enroll in the same day notification AMP products.</w:t>
      </w:r>
    </w:p>
    <w:p w:rsidR="006A7080" w:rsidRDefault="006A7080" w:rsidP="006A7080">
      <w:pPr>
        <w:pStyle w:val="Bullets"/>
        <w:tabs>
          <w:tab w:val="num" w:pos="720"/>
        </w:tabs>
        <w:ind w:left="720"/>
      </w:pPr>
      <w:r>
        <w:rPr>
          <w:b/>
        </w:rPr>
        <w:t xml:space="preserve">Base Interruptible Program (BIP): </w:t>
      </w:r>
      <w:r>
        <w:t>P</w:t>
      </w:r>
      <w:r w:rsidRPr="00BB6C1C">
        <w:t xml:space="preserve">ays </w:t>
      </w:r>
      <w:r>
        <w:t xml:space="preserve">customers </w:t>
      </w:r>
      <w:r w:rsidRPr="00BB6C1C">
        <w:t>an incentive to reduce load to or</w:t>
      </w:r>
      <w:r w:rsidR="0067294A">
        <w:t> </w:t>
      </w:r>
      <w:r w:rsidRPr="00BB6C1C">
        <w:t xml:space="preserve">below a </w:t>
      </w:r>
      <w:r>
        <w:t xml:space="preserve">preselected, customer-specific level known as the firm service level </w:t>
      </w:r>
      <w:r w:rsidRPr="00BB6C1C">
        <w:t>(FSL</w:t>
      </w:r>
      <w:r>
        <w:t>)</w:t>
      </w:r>
      <w:proofErr w:type="gramStart"/>
      <w:r>
        <w:t xml:space="preserve">.  </w:t>
      </w:r>
      <w:proofErr w:type="gramEnd"/>
      <w:r>
        <w:t xml:space="preserve">Failure to reduce load to the FSL on BIP event days results in penalties. </w:t>
      </w:r>
    </w:p>
    <w:p w:rsidR="006A7080" w:rsidRDefault="006A7080" w:rsidP="00DC580B">
      <w:pPr>
        <w:pStyle w:val="BulletLast"/>
        <w:tabs>
          <w:tab w:val="num" w:pos="720"/>
        </w:tabs>
        <w:ind w:left="720"/>
      </w:pPr>
      <w:r w:rsidRPr="002D2F9F">
        <w:rPr>
          <w:b/>
        </w:rPr>
        <w:t>Capacity Bidding Program (CBP</w:t>
      </w:r>
      <w:r w:rsidRPr="00D42AC6">
        <w:rPr>
          <w:b/>
        </w:rPr>
        <w:t>):</w:t>
      </w:r>
      <w:r w:rsidRPr="004820F7">
        <w:t xml:space="preserve"> </w:t>
      </w:r>
      <w:r>
        <w:t xml:space="preserve">A </w:t>
      </w:r>
      <w:r w:rsidRPr="004820F7">
        <w:t xml:space="preserve">monthly incentive </w:t>
      </w:r>
      <w:r>
        <w:t xml:space="preserve">is paid to </w:t>
      </w:r>
      <w:r w:rsidRPr="004820F7">
        <w:t>reduce energy use to</w:t>
      </w:r>
      <w:r w:rsidR="004C74AD">
        <w:t> </w:t>
      </w:r>
      <w:r w:rsidRPr="004820F7">
        <w:t xml:space="preserve">a pre-determined amount </w:t>
      </w:r>
      <w:r>
        <w:t xml:space="preserve">once an electric </w:t>
      </w:r>
      <w:r w:rsidRPr="004820F7">
        <w:t>resource generation facility reaches or exceeds heat rates of 15,000 Btu (British thermal units) per kWh</w:t>
      </w:r>
      <w:proofErr w:type="gramStart"/>
      <w:r w:rsidRPr="004820F7">
        <w:t xml:space="preserve">. </w:t>
      </w:r>
      <w:r>
        <w:t xml:space="preserve"> </w:t>
      </w:r>
      <w:proofErr w:type="gramEnd"/>
      <w:r w:rsidRPr="004820F7">
        <w:t xml:space="preserve">Load reduction commitment is on a month-by-month basis, with nominations made </w:t>
      </w:r>
      <w:r>
        <w:t>five</w:t>
      </w:r>
      <w:r w:rsidRPr="004820F7">
        <w:t xml:space="preserve"> days prior to</w:t>
      </w:r>
      <w:r w:rsidR="0067294A">
        <w:t> </w:t>
      </w:r>
      <w:r w:rsidRPr="004820F7">
        <w:t>the</w:t>
      </w:r>
      <w:r w:rsidR="004C74AD">
        <w:t> </w:t>
      </w:r>
      <w:r w:rsidRPr="004820F7">
        <w:t>beginning of each month</w:t>
      </w:r>
      <w:proofErr w:type="gramStart"/>
      <w:r w:rsidRPr="004820F7">
        <w:t xml:space="preserve">. </w:t>
      </w:r>
      <w:r>
        <w:t xml:space="preserve"> </w:t>
      </w:r>
      <w:proofErr w:type="gramEnd"/>
      <w:r w:rsidRPr="004820F7">
        <w:t>Customers</w:t>
      </w:r>
      <w:r>
        <w:t> </w:t>
      </w:r>
      <w:r w:rsidRPr="004820F7">
        <w:t xml:space="preserve">must enroll with (or as) a third-party </w:t>
      </w:r>
      <w:r w:rsidRPr="004820F7">
        <w:lastRenderedPageBreak/>
        <w:t>aggregator to join the Capacity Bidding Program</w:t>
      </w:r>
      <w:proofErr w:type="gramStart"/>
      <w:r w:rsidRPr="004820F7">
        <w:t>.</w:t>
      </w:r>
      <w:r>
        <w:t xml:space="preserve">  </w:t>
      </w:r>
      <w:proofErr w:type="gramEnd"/>
      <w:r>
        <w:t>Customers can choose between day</w:t>
      </w:r>
      <w:r w:rsidR="004C74AD">
        <w:noBreakHyphen/>
      </w:r>
      <w:r>
        <w:t>ahead and day-of notification</w:t>
      </w:r>
      <w:proofErr w:type="gramStart"/>
      <w:r>
        <w:t xml:space="preserve">.  </w:t>
      </w:r>
      <w:proofErr w:type="gramEnd"/>
      <w:r>
        <w:t>Only customers with day-of notification can be dually enrolled in CPP.</w:t>
      </w:r>
    </w:p>
    <w:p w:rsidR="006A7080" w:rsidRDefault="006A7080" w:rsidP="006A7080">
      <w:pPr>
        <w:pStyle w:val="BodyParagraph"/>
      </w:pPr>
      <w:r>
        <w:t>Table 4-</w:t>
      </w:r>
      <w:r w:rsidR="004C74AD">
        <w:t xml:space="preserve">5 </w:t>
      </w:r>
      <w:r>
        <w:t>shows CPP load impacts for customers that are dually enrolled in other demand response programs</w:t>
      </w:r>
      <w:proofErr w:type="gramStart"/>
      <w:r>
        <w:t xml:space="preserve">.  </w:t>
      </w:r>
      <w:proofErr w:type="gramEnd"/>
      <w:r>
        <w:t>A word of caution is needed in reviewing Table 4-</w:t>
      </w:r>
      <w:r w:rsidR="004C74AD">
        <w:t>5</w:t>
      </w:r>
      <w:proofErr w:type="gramStart"/>
      <w:r>
        <w:t xml:space="preserve">.  </w:t>
      </w:r>
      <w:proofErr w:type="gramEnd"/>
      <w:r>
        <w:t>There are relatively few dually enrolled customers in any single DR program</w:t>
      </w:r>
      <w:proofErr w:type="gramStart"/>
      <w:r>
        <w:t xml:space="preserve">.  </w:t>
      </w:r>
      <w:proofErr w:type="gramEnd"/>
      <w:r>
        <w:t>For example, there are only 16 customers enrolled in both CPP and CBP</w:t>
      </w:r>
      <w:proofErr w:type="gramStart"/>
      <w:r>
        <w:t xml:space="preserve">.  </w:t>
      </w:r>
      <w:proofErr w:type="gramEnd"/>
      <w:r>
        <w:t>The significant variation in average and aggregate load impacts across dual enrollment categories probably has less to do with dual enrollment than it does with fundamental differences in the average characteristics and price responsiveness of the few customers who happen to be in each category</w:t>
      </w:r>
      <w:proofErr w:type="gramStart"/>
      <w:r>
        <w:t xml:space="preserve">.  </w:t>
      </w:r>
      <w:proofErr w:type="gramEnd"/>
      <w:r>
        <w:t>The estimates are</w:t>
      </w:r>
      <w:r w:rsidR="0067294A">
        <w:t> </w:t>
      </w:r>
      <w:r>
        <w:t>useful for adjusting portfolio impact estimates under assumptions that both programs are</w:t>
      </w:r>
      <w:r w:rsidR="0067294A">
        <w:t> </w:t>
      </w:r>
      <w:r>
        <w:t>called on the same day, but it is not appropriate to claim that customers dually enrolled in</w:t>
      </w:r>
      <w:r w:rsidR="0067294A">
        <w:t> </w:t>
      </w:r>
      <w:r>
        <w:t>CPP and BIP are more than twice as price responsive compared with customers dually enrolled in CPP and AMP because the BIP program somehow supports CPP demand response better than the AMP program</w:t>
      </w:r>
      <w:proofErr w:type="gramStart"/>
      <w:r>
        <w:t xml:space="preserve">.  </w:t>
      </w:r>
      <w:proofErr w:type="gramEnd"/>
      <w:r>
        <w:t>Said another way, while dual enrollment in CPP and BIP appears to correlate with above average load reductions, there is no basis to infer that any combination of dual enrollment listed in Table 4-</w:t>
      </w:r>
      <w:r w:rsidR="004C74AD">
        <w:t xml:space="preserve">5 </w:t>
      </w:r>
      <w:r>
        <w:t>causes CP</w:t>
      </w:r>
      <w:r w:rsidR="00B4093B">
        <w:t>P customers to respond better.</w:t>
      </w:r>
    </w:p>
    <w:p w:rsidR="006A7080" w:rsidRDefault="006A7080" w:rsidP="006A7080">
      <w:pPr>
        <w:pStyle w:val="TableFigureCaption"/>
      </w:pPr>
      <w:r w:rsidRPr="002D2F9F">
        <w:t>Table 4-</w:t>
      </w:r>
      <w:r>
        <w:t>5</w:t>
      </w:r>
      <w:r w:rsidRPr="002D2F9F">
        <w:t>: Default CPP Ex Post Load Impact Estimates for Dually-enrolled Participants</w:t>
      </w:r>
      <w:r w:rsidRPr="002D2F9F">
        <w:br/>
        <w:t>Average 201</w:t>
      </w:r>
      <w:r w:rsidR="00DC580B">
        <w:t>4</w:t>
      </w:r>
      <w:r w:rsidR="00744453">
        <w:t xml:space="preserve"> PG&amp;E CPP Event (2 to </w:t>
      </w:r>
      <w:r w:rsidRPr="002D2F9F">
        <w:t>6 PM)</w:t>
      </w:r>
      <w:r>
        <w:t>*</w:t>
      </w:r>
    </w:p>
    <w:tbl>
      <w:tblPr>
        <w:tblW w:w="0" w:type="auto"/>
        <w:jc w:val="center"/>
        <w:tblInd w:w="-1456" w:type="dxa"/>
        <w:tblLook w:val="04A0" w:firstRow="1" w:lastRow="0" w:firstColumn="1" w:lastColumn="0" w:noHBand="0" w:noVBand="1"/>
      </w:tblPr>
      <w:tblGrid>
        <w:gridCol w:w="1239"/>
        <w:gridCol w:w="1128"/>
        <w:gridCol w:w="1746"/>
        <w:gridCol w:w="1350"/>
        <w:gridCol w:w="861"/>
        <w:gridCol w:w="1237"/>
        <w:gridCol w:w="1194"/>
        <w:gridCol w:w="982"/>
        <w:gridCol w:w="900"/>
      </w:tblGrid>
      <w:tr w:rsidR="0000306E" w:rsidRPr="00FD22E1" w:rsidTr="00D01C1A">
        <w:trPr>
          <w:trHeight w:val="800"/>
          <w:jc w:val="center"/>
        </w:trPr>
        <w:tc>
          <w:tcPr>
            <w:tcW w:w="1239" w:type="dxa"/>
            <w:vMerge w:val="restart"/>
            <w:tcBorders>
              <w:top w:val="single" w:sz="4" w:space="0" w:color="000000"/>
              <w:left w:val="single" w:sz="4" w:space="0" w:color="auto"/>
              <w:bottom w:val="single" w:sz="4" w:space="0" w:color="000000"/>
              <w:right w:val="nil"/>
            </w:tcBorders>
            <w:shd w:val="clear" w:color="auto" w:fill="0070CD"/>
            <w:vAlign w:val="center"/>
            <w:hideMark/>
          </w:tcPr>
          <w:p w:rsidR="006A7080" w:rsidRPr="00FD22E1" w:rsidRDefault="006A7080" w:rsidP="00283EC7">
            <w:pPr>
              <w:pStyle w:val="TableHeader"/>
              <w:rPr>
                <w:rFonts w:eastAsia="Times New Roman"/>
              </w:rPr>
            </w:pPr>
            <w:bookmarkStart w:id="111" w:name="_Toc318473853"/>
            <w:bookmarkStart w:id="112" w:name="_Toc326072111"/>
            <w:bookmarkStart w:id="113" w:name="_Toc352323635"/>
            <w:r w:rsidRPr="00FD22E1">
              <w:rPr>
                <w:rFonts w:eastAsia="Times New Roman"/>
              </w:rPr>
              <w:t>Dually Enrolled DR</w:t>
            </w:r>
          </w:p>
        </w:tc>
        <w:tc>
          <w:tcPr>
            <w:tcW w:w="1128" w:type="dxa"/>
            <w:vMerge w:val="restart"/>
            <w:tcBorders>
              <w:top w:val="single" w:sz="4" w:space="0" w:color="000000"/>
              <w:left w:val="single" w:sz="4" w:space="0" w:color="FFFFFF"/>
              <w:bottom w:val="single" w:sz="4" w:space="0" w:color="000000"/>
              <w:right w:val="nil"/>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Accounts</w:t>
            </w:r>
          </w:p>
        </w:tc>
        <w:tc>
          <w:tcPr>
            <w:tcW w:w="1746" w:type="dxa"/>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Avg. Customer Reference Load</w:t>
            </w:r>
          </w:p>
        </w:tc>
        <w:tc>
          <w:tcPr>
            <w:tcW w:w="1350" w:type="dxa"/>
            <w:tcBorders>
              <w:top w:val="single" w:sz="4" w:space="0" w:color="000000"/>
              <w:left w:val="nil"/>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Avg. Customer Load w/ DR</w:t>
            </w:r>
          </w:p>
        </w:tc>
        <w:tc>
          <w:tcPr>
            <w:tcW w:w="861" w:type="dxa"/>
            <w:tcBorders>
              <w:top w:val="single" w:sz="4" w:space="0" w:color="000000"/>
              <w:left w:val="nil"/>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Impact</w:t>
            </w:r>
          </w:p>
        </w:tc>
        <w:tc>
          <w:tcPr>
            <w:tcW w:w="1237" w:type="dxa"/>
            <w:tcBorders>
              <w:top w:val="single" w:sz="4" w:space="0" w:color="000000"/>
              <w:left w:val="nil"/>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Aggregate Impact</w:t>
            </w:r>
          </w:p>
        </w:tc>
        <w:tc>
          <w:tcPr>
            <w:tcW w:w="1194" w:type="dxa"/>
            <w:tcBorders>
              <w:top w:val="single" w:sz="4" w:space="0" w:color="000000"/>
              <w:left w:val="nil"/>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 Reduction</w:t>
            </w:r>
          </w:p>
        </w:tc>
        <w:tc>
          <w:tcPr>
            <w:tcW w:w="982" w:type="dxa"/>
            <w:tcBorders>
              <w:top w:val="single" w:sz="4" w:space="0" w:color="000000"/>
              <w:left w:val="nil"/>
              <w:bottom w:val="single" w:sz="4" w:space="0" w:color="FFFFFF"/>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Avg. Temp.</w:t>
            </w:r>
          </w:p>
        </w:tc>
        <w:tc>
          <w:tcPr>
            <w:tcW w:w="900" w:type="dxa"/>
            <w:vMerge w:val="restart"/>
            <w:tcBorders>
              <w:top w:val="single" w:sz="4" w:space="0" w:color="000000"/>
              <w:left w:val="single" w:sz="4" w:space="0" w:color="FFFFFF"/>
              <w:bottom w:val="single" w:sz="4" w:space="0" w:color="000000"/>
              <w:right w:val="single" w:sz="4" w:space="0" w:color="auto"/>
            </w:tcBorders>
            <w:shd w:val="clear" w:color="auto" w:fill="0070CD"/>
            <w:vAlign w:val="center"/>
            <w:hideMark/>
          </w:tcPr>
          <w:p w:rsidR="006A7080" w:rsidRPr="00FD22E1" w:rsidRDefault="006A7080" w:rsidP="00A542A4">
            <w:pPr>
              <w:pStyle w:val="TableHeader"/>
              <w:rPr>
                <w:rFonts w:eastAsia="Times New Roman"/>
              </w:rPr>
            </w:pPr>
            <w:r w:rsidRPr="00FD22E1">
              <w:rPr>
                <w:rFonts w:eastAsia="Times New Roman"/>
              </w:rPr>
              <w:t xml:space="preserve">Stat. </w:t>
            </w:r>
            <w:r w:rsidR="0067294A">
              <w:rPr>
                <w:rFonts w:eastAsia="Times New Roman"/>
              </w:rPr>
              <w:t>S</w:t>
            </w:r>
            <w:r w:rsidRPr="00FD22E1">
              <w:rPr>
                <w:rFonts w:eastAsia="Times New Roman"/>
              </w:rPr>
              <w:t>ig?</w:t>
            </w:r>
          </w:p>
        </w:tc>
      </w:tr>
      <w:tr w:rsidR="0000306E" w:rsidRPr="00FD22E1" w:rsidTr="00D01C1A">
        <w:trPr>
          <w:trHeight w:val="300"/>
          <w:jc w:val="center"/>
        </w:trPr>
        <w:tc>
          <w:tcPr>
            <w:tcW w:w="1239" w:type="dxa"/>
            <w:vMerge/>
            <w:tcBorders>
              <w:top w:val="single" w:sz="4" w:space="0" w:color="000000"/>
              <w:left w:val="single" w:sz="4" w:space="0" w:color="auto"/>
              <w:bottom w:val="single" w:sz="4" w:space="0" w:color="000000"/>
              <w:right w:val="nil"/>
            </w:tcBorders>
            <w:shd w:val="clear" w:color="auto" w:fill="0070CD"/>
            <w:vAlign w:val="center"/>
            <w:hideMark/>
          </w:tcPr>
          <w:p w:rsidR="006A7080" w:rsidRPr="00FD22E1" w:rsidRDefault="006A7080" w:rsidP="00283EC7">
            <w:pPr>
              <w:pStyle w:val="TableHeader"/>
              <w:rPr>
                <w:rFonts w:eastAsia="Times New Roman"/>
              </w:rPr>
            </w:pPr>
          </w:p>
        </w:tc>
        <w:tc>
          <w:tcPr>
            <w:tcW w:w="1128" w:type="dxa"/>
            <w:vMerge/>
            <w:tcBorders>
              <w:top w:val="single" w:sz="4" w:space="0" w:color="000000"/>
              <w:left w:val="single" w:sz="4" w:space="0" w:color="FFFFFF"/>
              <w:bottom w:val="single" w:sz="4" w:space="0" w:color="000000"/>
              <w:right w:val="nil"/>
            </w:tcBorders>
            <w:shd w:val="clear" w:color="auto" w:fill="0070CD"/>
            <w:vAlign w:val="center"/>
            <w:hideMark/>
          </w:tcPr>
          <w:p w:rsidR="006A7080" w:rsidRPr="00FD22E1" w:rsidRDefault="006A7080" w:rsidP="00283EC7">
            <w:pPr>
              <w:pStyle w:val="TableHeader"/>
              <w:rPr>
                <w:rFonts w:eastAsia="Times New Roman"/>
              </w:rPr>
            </w:pPr>
          </w:p>
        </w:tc>
        <w:tc>
          <w:tcPr>
            <w:tcW w:w="1746" w:type="dxa"/>
            <w:tcBorders>
              <w:top w:val="nil"/>
              <w:left w:val="single" w:sz="4" w:space="0" w:color="FFFFFF"/>
              <w:bottom w:val="single" w:sz="4" w:space="0" w:color="auto"/>
              <w:right w:val="nil"/>
            </w:tcBorders>
            <w:shd w:val="clear" w:color="auto" w:fill="0070CD"/>
            <w:noWrap/>
            <w:vAlign w:val="center"/>
            <w:hideMark/>
          </w:tcPr>
          <w:p w:rsidR="006A7080" w:rsidRPr="00FD22E1" w:rsidRDefault="006A7080" w:rsidP="00283EC7">
            <w:pPr>
              <w:pStyle w:val="TableHeader"/>
              <w:rPr>
                <w:rFonts w:eastAsia="Times New Roman"/>
              </w:rPr>
            </w:pPr>
            <w:r w:rsidRPr="00FD22E1">
              <w:rPr>
                <w:rFonts w:eastAsia="Times New Roman"/>
              </w:rPr>
              <w:t>(kW)</w:t>
            </w:r>
          </w:p>
        </w:tc>
        <w:tc>
          <w:tcPr>
            <w:tcW w:w="1350" w:type="dxa"/>
            <w:tcBorders>
              <w:top w:val="nil"/>
              <w:left w:val="single" w:sz="4" w:space="0" w:color="FFFFFF"/>
              <w:bottom w:val="single" w:sz="4" w:space="0" w:color="auto"/>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(kW)</w:t>
            </w:r>
          </w:p>
        </w:tc>
        <w:tc>
          <w:tcPr>
            <w:tcW w:w="861" w:type="dxa"/>
            <w:tcBorders>
              <w:top w:val="nil"/>
              <w:left w:val="nil"/>
              <w:bottom w:val="single" w:sz="4" w:space="0" w:color="auto"/>
              <w:right w:val="single" w:sz="4" w:space="0" w:color="FFFFFF"/>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(kW)</w:t>
            </w:r>
          </w:p>
        </w:tc>
        <w:tc>
          <w:tcPr>
            <w:tcW w:w="1237" w:type="dxa"/>
            <w:tcBorders>
              <w:top w:val="nil"/>
              <w:left w:val="nil"/>
              <w:bottom w:val="nil"/>
              <w:right w:val="nil"/>
            </w:tcBorders>
            <w:shd w:val="clear" w:color="auto" w:fill="0070CD"/>
            <w:vAlign w:val="center"/>
            <w:hideMark/>
          </w:tcPr>
          <w:p w:rsidR="006A7080" w:rsidRPr="00FD22E1" w:rsidRDefault="006A7080" w:rsidP="00283EC7">
            <w:pPr>
              <w:pStyle w:val="TableHeader"/>
              <w:rPr>
                <w:rFonts w:eastAsia="Times New Roman"/>
              </w:rPr>
            </w:pPr>
            <w:r w:rsidRPr="00FD22E1">
              <w:rPr>
                <w:rFonts w:eastAsia="Times New Roman"/>
              </w:rPr>
              <w:t>(MW)</w:t>
            </w:r>
          </w:p>
        </w:tc>
        <w:tc>
          <w:tcPr>
            <w:tcW w:w="1194" w:type="dxa"/>
            <w:tcBorders>
              <w:top w:val="nil"/>
              <w:left w:val="single" w:sz="4" w:space="0" w:color="FFFFFF"/>
              <w:bottom w:val="single" w:sz="4" w:space="0" w:color="auto"/>
              <w:right w:val="single" w:sz="4" w:space="0" w:color="FFFFFF"/>
            </w:tcBorders>
            <w:shd w:val="clear" w:color="auto" w:fill="0070CD"/>
            <w:vAlign w:val="center"/>
            <w:hideMark/>
          </w:tcPr>
          <w:p w:rsidR="006A7080" w:rsidRPr="0096205A" w:rsidRDefault="006A7080" w:rsidP="00283EC7">
            <w:pPr>
              <w:pStyle w:val="TableHeader"/>
              <w:rPr>
                <w:rFonts w:eastAsia="Times New Roman"/>
              </w:rPr>
            </w:pPr>
            <w:r w:rsidRPr="0096205A">
              <w:rPr>
                <w:rFonts w:eastAsia="Times New Roman"/>
              </w:rPr>
              <w:t>(%)</w:t>
            </w:r>
          </w:p>
        </w:tc>
        <w:tc>
          <w:tcPr>
            <w:tcW w:w="982" w:type="dxa"/>
            <w:tcBorders>
              <w:top w:val="nil"/>
              <w:left w:val="nil"/>
              <w:bottom w:val="single" w:sz="4" w:space="0" w:color="000000"/>
              <w:right w:val="single" w:sz="4" w:space="0" w:color="FFFFFF"/>
            </w:tcBorders>
            <w:shd w:val="clear" w:color="auto" w:fill="0070CD"/>
            <w:noWrap/>
            <w:vAlign w:val="center"/>
            <w:hideMark/>
          </w:tcPr>
          <w:p w:rsidR="006A7080" w:rsidRPr="00FD22E1" w:rsidRDefault="006A7080" w:rsidP="00283EC7">
            <w:pPr>
              <w:pStyle w:val="TableHeader"/>
              <w:rPr>
                <w:rFonts w:eastAsia="Times New Roman"/>
              </w:rPr>
            </w:pPr>
            <w:r>
              <w:rPr>
                <w:rFonts w:eastAsia="Times New Roman"/>
              </w:rPr>
              <w:t>(</w:t>
            </w:r>
            <w:r w:rsidRPr="00FD22E1">
              <w:rPr>
                <w:rFonts w:eastAsia="Times New Roman"/>
              </w:rPr>
              <w:t>°F</w:t>
            </w:r>
            <w:r>
              <w:rPr>
                <w:rFonts w:eastAsia="Times New Roman"/>
              </w:rPr>
              <w:t>)</w:t>
            </w:r>
          </w:p>
        </w:tc>
        <w:tc>
          <w:tcPr>
            <w:tcW w:w="900" w:type="dxa"/>
            <w:vMerge/>
            <w:tcBorders>
              <w:top w:val="single" w:sz="4" w:space="0" w:color="000000"/>
              <w:left w:val="single" w:sz="4" w:space="0" w:color="FFFFFF"/>
              <w:bottom w:val="single" w:sz="4" w:space="0" w:color="000000"/>
              <w:right w:val="single" w:sz="4" w:space="0" w:color="auto"/>
            </w:tcBorders>
            <w:shd w:val="clear" w:color="auto" w:fill="0070CD"/>
            <w:vAlign w:val="center"/>
            <w:hideMark/>
          </w:tcPr>
          <w:p w:rsidR="006A7080" w:rsidRPr="00FD22E1" w:rsidRDefault="006A7080" w:rsidP="00283EC7">
            <w:pPr>
              <w:pStyle w:val="TableHeader"/>
              <w:rPr>
                <w:rFonts w:eastAsia="Times New Roman"/>
              </w:rPr>
            </w:pPr>
          </w:p>
        </w:tc>
      </w:tr>
      <w:tr w:rsidR="0067294A" w:rsidRPr="00FD22E1" w:rsidTr="00D01C1A">
        <w:trPr>
          <w:trHeight w:val="300"/>
          <w:jc w:val="center"/>
        </w:trPr>
        <w:tc>
          <w:tcPr>
            <w:tcW w:w="1239" w:type="dxa"/>
            <w:tcBorders>
              <w:top w:val="nil"/>
              <w:left w:val="single" w:sz="4" w:space="0" w:color="auto"/>
              <w:bottom w:val="single" w:sz="4" w:space="0" w:color="auto"/>
              <w:right w:val="single" w:sz="4" w:space="0" w:color="auto"/>
            </w:tcBorders>
            <w:shd w:val="clear" w:color="auto" w:fill="auto"/>
            <w:vAlign w:val="center"/>
            <w:hideMark/>
          </w:tcPr>
          <w:p w:rsidR="006A7080" w:rsidRPr="00FD22E1" w:rsidRDefault="006A7080" w:rsidP="00283EC7">
            <w:pPr>
              <w:pStyle w:val="TableText"/>
              <w:rPr>
                <w:rFonts w:eastAsia="Times New Roman"/>
              </w:rPr>
            </w:pPr>
            <w:r w:rsidRPr="00FD22E1">
              <w:rPr>
                <w:rFonts w:eastAsia="Times New Roman"/>
              </w:rPr>
              <w:t>AMP</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114</w:t>
            </w:r>
          </w:p>
        </w:tc>
        <w:tc>
          <w:tcPr>
            <w:tcW w:w="1746"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391.5</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288.8</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102.8</w:t>
            </w:r>
          </w:p>
        </w:tc>
        <w:tc>
          <w:tcPr>
            <w:tcW w:w="1237" w:type="dxa"/>
            <w:tcBorders>
              <w:top w:val="single" w:sz="4" w:space="0" w:color="auto"/>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11.7</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26%</w:t>
            </w:r>
          </w:p>
        </w:tc>
        <w:tc>
          <w:tcPr>
            <w:tcW w:w="982"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86.5</w:t>
            </w:r>
          </w:p>
        </w:tc>
        <w:tc>
          <w:tcPr>
            <w:tcW w:w="90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Yes</w:t>
            </w:r>
          </w:p>
        </w:tc>
      </w:tr>
      <w:tr w:rsidR="0067294A" w:rsidRPr="00FD22E1" w:rsidTr="00D01C1A">
        <w:trPr>
          <w:trHeight w:val="300"/>
          <w:jc w:val="center"/>
        </w:trPr>
        <w:tc>
          <w:tcPr>
            <w:tcW w:w="1239" w:type="dxa"/>
            <w:tcBorders>
              <w:top w:val="nil"/>
              <w:left w:val="single" w:sz="4" w:space="0" w:color="auto"/>
              <w:bottom w:val="single" w:sz="4" w:space="0" w:color="auto"/>
              <w:right w:val="single" w:sz="4" w:space="0" w:color="auto"/>
            </w:tcBorders>
            <w:shd w:val="clear" w:color="auto" w:fill="auto"/>
            <w:vAlign w:val="center"/>
            <w:hideMark/>
          </w:tcPr>
          <w:p w:rsidR="006A7080" w:rsidRPr="00FD22E1" w:rsidRDefault="006A7080" w:rsidP="00283EC7">
            <w:pPr>
              <w:pStyle w:val="TableText"/>
              <w:rPr>
                <w:rFonts w:eastAsia="Times New Roman"/>
              </w:rPr>
            </w:pPr>
            <w:r w:rsidRPr="00FD22E1">
              <w:rPr>
                <w:rFonts w:eastAsia="Times New Roman"/>
              </w:rPr>
              <w:t>BIP</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40</w:t>
            </w:r>
          </w:p>
        </w:tc>
        <w:tc>
          <w:tcPr>
            <w:tcW w:w="1746"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576.4</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290.8</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285.7</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11.4</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50%</w:t>
            </w:r>
          </w:p>
        </w:tc>
        <w:tc>
          <w:tcPr>
            <w:tcW w:w="982"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92.6</w:t>
            </w:r>
          </w:p>
        </w:tc>
        <w:tc>
          <w:tcPr>
            <w:tcW w:w="90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Yes</w:t>
            </w:r>
          </w:p>
        </w:tc>
      </w:tr>
      <w:tr w:rsidR="0067294A" w:rsidRPr="00FD22E1" w:rsidTr="00D01C1A">
        <w:trPr>
          <w:trHeight w:val="300"/>
          <w:jc w:val="center"/>
        </w:trPr>
        <w:tc>
          <w:tcPr>
            <w:tcW w:w="1239" w:type="dxa"/>
            <w:tcBorders>
              <w:top w:val="nil"/>
              <w:left w:val="single" w:sz="4" w:space="0" w:color="auto"/>
              <w:bottom w:val="single" w:sz="4" w:space="0" w:color="auto"/>
              <w:right w:val="single" w:sz="4" w:space="0" w:color="auto"/>
            </w:tcBorders>
            <w:shd w:val="clear" w:color="auto" w:fill="auto"/>
            <w:vAlign w:val="center"/>
            <w:hideMark/>
          </w:tcPr>
          <w:p w:rsidR="006A7080" w:rsidRPr="00FD22E1" w:rsidRDefault="006A7080" w:rsidP="00283EC7">
            <w:pPr>
              <w:pStyle w:val="TableText"/>
              <w:rPr>
                <w:rFonts w:eastAsia="Times New Roman"/>
              </w:rPr>
            </w:pPr>
            <w:r w:rsidRPr="00FD22E1">
              <w:rPr>
                <w:rFonts w:eastAsia="Times New Roman"/>
              </w:rPr>
              <w:t>CBP</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16</w:t>
            </w:r>
          </w:p>
        </w:tc>
        <w:tc>
          <w:tcPr>
            <w:tcW w:w="1746"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179.0</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158.3</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20.6</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0.3</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12%</w:t>
            </w:r>
          </w:p>
        </w:tc>
        <w:tc>
          <w:tcPr>
            <w:tcW w:w="982"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88.6</w:t>
            </w:r>
          </w:p>
        </w:tc>
        <w:tc>
          <w:tcPr>
            <w:tcW w:w="90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No</w:t>
            </w:r>
          </w:p>
        </w:tc>
      </w:tr>
      <w:tr w:rsidR="0067294A" w:rsidRPr="00FD22E1" w:rsidTr="00D01C1A">
        <w:trPr>
          <w:trHeight w:val="300"/>
          <w:jc w:val="center"/>
        </w:trPr>
        <w:tc>
          <w:tcPr>
            <w:tcW w:w="1239" w:type="dxa"/>
            <w:tcBorders>
              <w:top w:val="nil"/>
              <w:left w:val="single" w:sz="4" w:space="0" w:color="auto"/>
              <w:bottom w:val="single" w:sz="4" w:space="0" w:color="auto"/>
              <w:right w:val="single" w:sz="4" w:space="0" w:color="auto"/>
            </w:tcBorders>
            <w:shd w:val="clear" w:color="auto" w:fill="auto"/>
            <w:vAlign w:val="center"/>
            <w:hideMark/>
          </w:tcPr>
          <w:p w:rsidR="006A7080" w:rsidRPr="00FD22E1" w:rsidRDefault="006A7080" w:rsidP="00283EC7">
            <w:pPr>
              <w:pStyle w:val="TableText"/>
              <w:rPr>
                <w:rFonts w:eastAsia="Times New Roman"/>
              </w:rPr>
            </w:pPr>
            <w:r w:rsidRPr="00FD22E1">
              <w:rPr>
                <w:rFonts w:eastAsia="Times New Roman"/>
              </w:rPr>
              <w:t>Not Dually-enrolled</w:t>
            </w:r>
          </w:p>
        </w:tc>
        <w:tc>
          <w:tcPr>
            <w:tcW w:w="1128"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1,640</w:t>
            </w:r>
          </w:p>
        </w:tc>
        <w:tc>
          <w:tcPr>
            <w:tcW w:w="1746"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263.7</w:t>
            </w:r>
          </w:p>
        </w:tc>
        <w:tc>
          <w:tcPr>
            <w:tcW w:w="135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253.5</w:t>
            </w:r>
          </w:p>
        </w:tc>
        <w:tc>
          <w:tcPr>
            <w:tcW w:w="861"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10.3</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16.9</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4%</w:t>
            </w:r>
          </w:p>
        </w:tc>
        <w:tc>
          <w:tcPr>
            <w:tcW w:w="982"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88.4</w:t>
            </w:r>
          </w:p>
        </w:tc>
        <w:tc>
          <w:tcPr>
            <w:tcW w:w="900" w:type="dxa"/>
            <w:tcBorders>
              <w:top w:val="nil"/>
              <w:left w:val="nil"/>
              <w:bottom w:val="single" w:sz="4" w:space="0" w:color="auto"/>
              <w:right w:val="single" w:sz="4" w:space="0" w:color="auto"/>
            </w:tcBorders>
            <w:shd w:val="clear" w:color="auto" w:fill="auto"/>
            <w:noWrap/>
            <w:vAlign w:val="center"/>
            <w:hideMark/>
          </w:tcPr>
          <w:p w:rsidR="006A7080" w:rsidRPr="00FD22E1" w:rsidRDefault="006A7080" w:rsidP="00283EC7">
            <w:pPr>
              <w:pStyle w:val="TableText"/>
              <w:rPr>
                <w:rFonts w:eastAsia="Times New Roman"/>
              </w:rPr>
            </w:pPr>
            <w:r w:rsidRPr="00FD22E1">
              <w:rPr>
                <w:rFonts w:eastAsia="Times New Roman"/>
              </w:rPr>
              <w:t>Yes</w:t>
            </w:r>
          </w:p>
        </w:tc>
      </w:tr>
    </w:tbl>
    <w:p w:rsidR="00B4093B" w:rsidRPr="00332A23" w:rsidRDefault="006A7080" w:rsidP="00B4093B">
      <w:pPr>
        <w:pStyle w:val="Footnote"/>
        <w:keepNext/>
        <w:ind w:left="720"/>
        <w:jc w:val="both"/>
      </w:pPr>
      <w:r w:rsidRPr="008E6FED">
        <w:t>*</w:t>
      </w:r>
      <w:r>
        <w:t xml:space="preserve"> </w:t>
      </w:r>
      <w:r w:rsidR="00B4093B">
        <w:t>Summations across segmentation categories may not equal totals presented for all customers on the average event day (Table 4-1)</w:t>
      </w:r>
      <w:proofErr w:type="gramStart"/>
      <w:r w:rsidR="00B4093B">
        <w:t xml:space="preserve">.  </w:t>
      </w:r>
      <w:proofErr w:type="gramEnd"/>
      <w:r w:rsidR="00B4093B">
        <w:t>Sector specific estimates required estimation of separate difference-in-differences models and can result on rounding errors.</w:t>
      </w:r>
    </w:p>
    <w:p w:rsidR="006A7080" w:rsidRDefault="006A7080" w:rsidP="006A7080">
      <w:pPr>
        <w:pStyle w:val="Heading2"/>
        <w:spacing w:before="360"/>
        <w:ind w:left="547" w:hanging="547"/>
      </w:pPr>
      <w:bookmarkStart w:id="114" w:name="_Toc412650594"/>
      <w:bookmarkStart w:id="115" w:name="_Toc415494767"/>
      <w:r>
        <w:t xml:space="preserve">TI </w:t>
      </w:r>
      <w:r w:rsidRPr="009A5CD1">
        <w:t>and</w:t>
      </w:r>
      <w:r>
        <w:t xml:space="preserve"> </w:t>
      </w:r>
      <w:proofErr w:type="spellStart"/>
      <w:r w:rsidRPr="00AD6E36">
        <w:t>AutoDR</w:t>
      </w:r>
      <w:proofErr w:type="spellEnd"/>
      <w:r>
        <w:t xml:space="preserve"> Load Impacts and Realization Rates</w:t>
      </w:r>
      <w:bookmarkEnd w:id="111"/>
      <w:bookmarkEnd w:id="112"/>
      <w:bookmarkEnd w:id="113"/>
      <w:bookmarkEnd w:id="114"/>
      <w:bookmarkEnd w:id="115"/>
    </w:p>
    <w:p w:rsidR="006A7080" w:rsidRDefault="006A7080" w:rsidP="006A7080">
      <w:pPr>
        <w:pStyle w:val="BodyParagraph"/>
      </w:pPr>
      <w:r>
        <w:t>The Technical Incentive (TI) and Automated Demand Response (</w:t>
      </w:r>
      <w:proofErr w:type="spellStart"/>
      <w:r>
        <w:t>AutoDR</w:t>
      </w:r>
      <w:proofErr w:type="spellEnd"/>
      <w:r>
        <w:t>) programs offered by</w:t>
      </w:r>
      <w:r w:rsidR="004C74AD">
        <w:t> </w:t>
      </w:r>
      <w:r>
        <w:t>PG&amp;E are designed to increase demand response for participating customers on CPP rates and to provide greater certainty regarding the amount of load shed during an event</w:t>
      </w:r>
      <w:proofErr w:type="gramStart"/>
      <w:r>
        <w:t xml:space="preserve">.  </w:t>
      </w:r>
      <w:proofErr w:type="gramEnd"/>
      <w:r>
        <w:t>These programs involve a multi-step process that begins with technical assistance (TA), which is an audit to determine the potential for installing energy saving technology or changing processes at</w:t>
      </w:r>
      <w:r w:rsidR="004C74AD">
        <w:t> </w:t>
      </w:r>
      <w:r>
        <w:t>a particular premise</w:t>
      </w:r>
      <w:proofErr w:type="gramStart"/>
      <w:r>
        <w:t xml:space="preserve">.  </w:t>
      </w:r>
      <w:proofErr w:type="gramEnd"/>
      <w:r>
        <w:t>A technical incentive is paid if a customer installs equipment or reconfigures processes and demonstrates that the investments and changes produce load reductions</w:t>
      </w:r>
      <w:proofErr w:type="gramStart"/>
      <w:r>
        <w:t xml:space="preserve">.  </w:t>
      </w:r>
      <w:proofErr w:type="gramEnd"/>
      <w:r>
        <w:t>Although the response is automated, customers must still decide whether and when</w:t>
      </w:r>
      <w:r w:rsidR="0067294A">
        <w:t> </w:t>
      </w:r>
      <w:r>
        <w:t>to drop load</w:t>
      </w:r>
      <w:proofErr w:type="gramStart"/>
      <w:r>
        <w:t xml:space="preserve">.  </w:t>
      </w:r>
      <w:proofErr w:type="spellStart"/>
      <w:proofErr w:type="gramEnd"/>
      <w:r>
        <w:t>AutoDR</w:t>
      </w:r>
      <w:proofErr w:type="spellEnd"/>
      <w:r>
        <w:t xml:space="preserve"> provides an incremental incentive to encourage customers to allow PG&amp;E to remotely dispatch the automated load reduction.  </w:t>
      </w:r>
    </w:p>
    <w:p w:rsidR="006A7080" w:rsidRDefault="006A7080" w:rsidP="006A7080">
      <w:pPr>
        <w:pStyle w:val="BodyParagraph"/>
      </w:pPr>
      <w:r>
        <w:lastRenderedPageBreak/>
        <w:t xml:space="preserve">From a policy perspective, it is important to understand if customers enrolled in these programs reach their approved load shed on </w:t>
      </w:r>
      <w:r w:rsidRPr="008A1951">
        <w:t>event</w:t>
      </w:r>
      <w:r>
        <w:t xml:space="preserve"> days</w:t>
      </w:r>
      <w:proofErr w:type="gramStart"/>
      <w:r>
        <w:t xml:space="preserve">.  </w:t>
      </w:r>
      <w:proofErr w:type="gramEnd"/>
      <w:r>
        <w:t>The realization rate describes the percent of approved load shed that is met by the estimated impacts on event days</w:t>
      </w:r>
      <w:proofErr w:type="gramStart"/>
      <w:r>
        <w:t xml:space="preserve">.  </w:t>
      </w:r>
      <w:proofErr w:type="gramEnd"/>
      <w:r>
        <w:t>It assumes that load reductions are due to automated reduction technology and not due to demand reductions from other end-uses.</w:t>
      </w:r>
    </w:p>
    <w:p w:rsidR="006A7080" w:rsidRPr="0029601C" w:rsidRDefault="006A7080" w:rsidP="006A7080">
      <w:pPr>
        <w:pStyle w:val="BodyParagraph"/>
      </w:pPr>
      <w:r>
        <w:t xml:space="preserve">A </w:t>
      </w:r>
      <w:r w:rsidRPr="008A1951">
        <w:t>statistically</w:t>
      </w:r>
      <w:r>
        <w:t xml:space="preserve"> valid assessment of TI and </w:t>
      </w:r>
      <w:proofErr w:type="spellStart"/>
      <w:r>
        <w:t>AutoDR</w:t>
      </w:r>
      <w:proofErr w:type="spellEnd"/>
      <w:r>
        <w:t xml:space="preserve"> is hampered by the very small number of customers that participate in these complementary programs</w:t>
      </w:r>
      <w:proofErr w:type="gramStart"/>
      <w:r>
        <w:t xml:space="preserve">.  </w:t>
      </w:r>
      <w:proofErr w:type="gramEnd"/>
      <w:r>
        <w:t xml:space="preserve">There were only four PG&amp;E accounts on the CPP tariff that received TI payments and nine </w:t>
      </w:r>
      <w:proofErr w:type="spellStart"/>
      <w:r>
        <w:t>AutoDR</w:t>
      </w:r>
      <w:proofErr w:type="spellEnd"/>
      <w:r>
        <w:t xml:space="preserve"> customers</w:t>
      </w:r>
      <w:proofErr w:type="gramStart"/>
      <w:r>
        <w:t xml:space="preserve">.  </w:t>
      </w:r>
      <w:proofErr w:type="gramEnd"/>
      <w:r>
        <w:t>Table 4-</w:t>
      </w:r>
      <w:r w:rsidR="004C74AD">
        <w:t>6</w:t>
      </w:r>
      <w:r>
        <w:t xml:space="preserve"> shows the load impact of the average customer on each of these programs on the average event day</w:t>
      </w:r>
      <w:proofErr w:type="gramStart"/>
      <w:r>
        <w:t xml:space="preserve">.  </w:t>
      </w:r>
      <w:proofErr w:type="gramEnd"/>
      <w:r>
        <w:t>For customers with TI, their response is statistically insignificant</w:t>
      </w:r>
      <w:r w:rsidR="0067294A">
        <w:rPr>
          <w:rFonts w:cs="Arial"/>
        </w:rPr>
        <w:t>—</w:t>
      </w:r>
      <w:r>
        <w:t>that is, their response, if any, is statistically indistinguishable from zero</w:t>
      </w:r>
      <w:proofErr w:type="gramStart"/>
      <w:r>
        <w:t xml:space="preserve">.  </w:t>
      </w:r>
      <w:proofErr w:type="spellStart"/>
      <w:proofErr w:type="gramEnd"/>
      <w:r>
        <w:t>AutoDR</w:t>
      </w:r>
      <w:proofErr w:type="spellEnd"/>
      <w:r>
        <w:t xml:space="preserve"> customers produced much</w:t>
      </w:r>
      <w:r w:rsidR="0067294A">
        <w:t> </w:t>
      </w:r>
      <w:r>
        <w:t>larger than average impacts of 50.5%</w:t>
      </w:r>
      <w:proofErr w:type="gramStart"/>
      <w:r>
        <w:t xml:space="preserve">.  </w:t>
      </w:r>
      <w:proofErr w:type="gramEnd"/>
      <w:r>
        <w:t xml:space="preserve">However, given the extremely small number of customers on TI and </w:t>
      </w:r>
      <w:proofErr w:type="spellStart"/>
      <w:r>
        <w:t>AutoDR</w:t>
      </w:r>
      <w:proofErr w:type="spellEnd"/>
      <w:r>
        <w:t xml:space="preserve">, the point impact estimates are surrounded by a large amount of uncertainty.  </w:t>
      </w:r>
    </w:p>
    <w:p w:rsidR="006A7080" w:rsidRDefault="006A7080" w:rsidP="006A7080">
      <w:pPr>
        <w:pStyle w:val="TableFigureCaption"/>
      </w:pPr>
      <w:r>
        <w:t xml:space="preserve">Table 4-6: Default CPP </w:t>
      </w:r>
      <w:r w:rsidRPr="00373E20">
        <w:t>Ex Post Load Impact</w:t>
      </w:r>
      <w:r>
        <w:t xml:space="preserve"> Estimates of TI and</w:t>
      </w:r>
      <w:r w:rsidRPr="00373E20">
        <w:t xml:space="preserve"> </w:t>
      </w:r>
      <w:proofErr w:type="spellStart"/>
      <w:r w:rsidRPr="00373E20">
        <w:t>AutoDR</w:t>
      </w:r>
      <w:proofErr w:type="spellEnd"/>
      <w:r w:rsidRPr="00373E20">
        <w:t xml:space="preserve"> Participants</w:t>
      </w:r>
      <w:r w:rsidRPr="00373E20">
        <w:br/>
      </w:r>
      <w:r>
        <w:t>Average 201</w:t>
      </w:r>
      <w:r w:rsidR="002B6B84">
        <w:t>4</w:t>
      </w:r>
      <w:r>
        <w:t xml:space="preserve"> PG</w:t>
      </w:r>
      <w:r w:rsidRPr="00F538E3">
        <w:t>&amp;E CPP Event</w:t>
      </w:r>
      <w:r>
        <w:t xml:space="preserve"> (2</w:t>
      </w:r>
      <w:r w:rsidR="004C74AD">
        <w:t xml:space="preserve"> to </w:t>
      </w:r>
      <w:r>
        <w:t>6 PM)*</w:t>
      </w:r>
    </w:p>
    <w:tbl>
      <w:tblPr>
        <w:tblW w:w="9483" w:type="dxa"/>
        <w:jc w:val="center"/>
        <w:tblInd w:w="93" w:type="dxa"/>
        <w:tblLook w:val="04A0" w:firstRow="1" w:lastRow="0" w:firstColumn="1" w:lastColumn="0" w:noHBand="0" w:noVBand="1"/>
      </w:tblPr>
      <w:tblGrid>
        <w:gridCol w:w="1982"/>
        <w:gridCol w:w="1164"/>
        <w:gridCol w:w="876"/>
        <w:gridCol w:w="1237"/>
        <w:gridCol w:w="917"/>
        <w:gridCol w:w="805"/>
        <w:gridCol w:w="1182"/>
        <w:gridCol w:w="1320"/>
      </w:tblGrid>
      <w:tr w:rsidR="00283EC7" w:rsidRPr="00FD22E1" w:rsidTr="00283EC7">
        <w:trPr>
          <w:trHeight w:val="510"/>
          <w:jc w:val="center"/>
        </w:trPr>
        <w:tc>
          <w:tcPr>
            <w:tcW w:w="1982" w:type="dxa"/>
            <w:vMerge w:val="restart"/>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Enabling Technology</w:t>
            </w:r>
          </w:p>
        </w:tc>
        <w:tc>
          <w:tcPr>
            <w:tcW w:w="1164"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Accounts</w:t>
            </w:r>
          </w:p>
        </w:tc>
        <w:tc>
          <w:tcPr>
            <w:tcW w:w="876" w:type="dxa"/>
            <w:tcBorders>
              <w:top w:val="single" w:sz="4" w:space="0" w:color="000000"/>
              <w:left w:val="nil"/>
              <w:bottom w:val="single" w:sz="4" w:space="0" w:color="FFFFFF"/>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Load Impact</w:t>
            </w:r>
          </w:p>
        </w:tc>
        <w:tc>
          <w:tcPr>
            <w:tcW w:w="1237" w:type="dxa"/>
            <w:tcBorders>
              <w:top w:val="single" w:sz="4" w:space="0" w:color="000000"/>
              <w:left w:val="nil"/>
              <w:bottom w:val="nil"/>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 Reduction</w:t>
            </w:r>
          </w:p>
        </w:tc>
        <w:tc>
          <w:tcPr>
            <w:tcW w:w="1722" w:type="dxa"/>
            <w:gridSpan w:val="2"/>
            <w:tcBorders>
              <w:top w:val="single" w:sz="4" w:space="0" w:color="000000"/>
              <w:left w:val="nil"/>
              <w:bottom w:val="single" w:sz="4" w:space="0" w:color="FFFFFF"/>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90% Confidence Interval</w:t>
            </w:r>
          </w:p>
        </w:tc>
        <w:tc>
          <w:tcPr>
            <w:tcW w:w="1182" w:type="dxa"/>
            <w:vMerge w:val="restart"/>
            <w:tcBorders>
              <w:top w:val="single" w:sz="4" w:space="0" w:color="000000"/>
              <w:left w:val="single" w:sz="4" w:space="0" w:color="FFFFFF"/>
              <w:bottom w:val="nil"/>
              <w:right w:val="single" w:sz="4" w:space="0" w:color="FFFFFF"/>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Approved kW</w:t>
            </w:r>
          </w:p>
        </w:tc>
        <w:tc>
          <w:tcPr>
            <w:tcW w:w="1320" w:type="dxa"/>
            <w:vMerge w:val="restart"/>
            <w:tcBorders>
              <w:top w:val="single" w:sz="4" w:space="0" w:color="000000"/>
              <w:left w:val="single" w:sz="4" w:space="0" w:color="FFFFFF"/>
              <w:bottom w:val="nil"/>
              <w:right w:val="single" w:sz="4" w:space="0" w:color="000000"/>
            </w:tcBorders>
            <w:shd w:val="clear" w:color="auto" w:fill="0070CD"/>
            <w:vAlign w:val="center"/>
            <w:hideMark/>
          </w:tcPr>
          <w:p w:rsidR="006A7080" w:rsidRPr="00AA722E" w:rsidRDefault="006A7080" w:rsidP="00283EC7">
            <w:pPr>
              <w:pStyle w:val="TableHeader"/>
              <w:rPr>
                <w:rFonts w:eastAsia="Times New Roman"/>
              </w:rPr>
            </w:pPr>
            <w:r w:rsidRPr="00AA722E">
              <w:rPr>
                <w:rFonts w:eastAsia="Times New Roman"/>
              </w:rPr>
              <w:t>Realization Rate</w:t>
            </w:r>
          </w:p>
        </w:tc>
      </w:tr>
      <w:tr w:rsidR="00283EC7" w:rsidRPr="00FD22E1" w:rsidTr="00283EC7">
        <w:trPr>
          <w:trHeight w:val="300"/>
          <w:jc w:val="center"/>
        </w:trPr>
        <w:tc>
          <w:tcPr>
            <w:tcW w:w="1982" w:type="dxa"/>
            <w:vMerge/>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6A7080" w:rsidRPr="00AA722E" w:rsidRDefault="006A7080" w:rsidP="00283EC7">
            <w:pPr>
              <w:pStyle w:val="TableHeader"/>
              <w:rPr>
                <w:rFonts w:eastAsia="Times New Roman"/>
              </w:rPr>
            </w:pPr>
          </w:p>
        </w:tc>
        <w:tc>
          <w:tcPr>
            <w:tcW w:w="1164"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6A7080" w:rsidRPr="00AA722E" w:rsidRDefault="006A7080" w:rsidP="00283EC7">
            <w:pPr>
              <w:pStyle w:val="TableHeader"/>
              <w:rPr>
                <w:rFonts w:eastAsia="Times New Roman"/>
              </w:rPr>
            </w:pPr>
          </w:p>
        </w:tc>
        <w:tc>
          <w:tcPr>
            <w:tcW w:w="876" w:type="dxa"/>
            <w:tcBorders>
              <w:top w:val="nil"/>
              <w:left w:val="nil"/>
              <w:bottom w:val="single" w:sz="4" w:space="0" w:color="000000"/>
              <w:right w:val="single" w:sz="4" w:space="0" w:color="FFFFFF"/>
            </w:tcBorders>
            <w:shd w:val="clear" w:color="auto" w:fill="0070CD"/>
            <w:noWrap/>
            <w:vAlign w:val="center"/>
            <w:hideMark/>
          </w:tcPr>
          <w:p w:rsidR="006A7080" w:rsidRPr="00AA722E" w:rsidRDefault="006A7080" w:rsidP="00283EC7">
            <w:pPr>
              <w:pStyle w:val="TableHeader"/>
              <w:rPr>
                <w:rFonts w:eastAsia="Times New Roman"/>
              </w:rPr>
            </w:pPr>
            <w:r w:rsidRPr="00AA722E">
              <w:rPr>
                <w:rFonts w:eastAsia="Times New Roman"/>
              </w:rPr>
              <w:t>(kW)</w:t>
            </w:r>
          </w:p>
        </w:tc>
        <w:tc>
          <w:tcPr>
            <w:tcW w:w="1237" w:type="dxa"/>
            <w:tcBorders>
              <w:top w:val="single" w:sz="4" w:space="0" w:color="FFFFFF"/>
              <w:left w:val="nil"/>
              <w:bottom w:val="single" w:sz="4" w:space="0" w:color="000000"/>
              <w:right w:val="single" w:sz="4" w:space="0" w:color="FFFFFF"/>
            </w:tcBorders>
            <w:shd w:val="clear" w:color="auto" w:fill="0070CD"/>
            <w:noWrap/>
            <w:vAlign w:val="center"/>
            <w:hideMark/>
          </w:tcPr>
          <w:p w:rsidR="006A7080" w:rsidRPr="00AA722E" w:rsidRDefault="006A7080" w:rsidP="00283EC7">
            <w:pPr>
              <w:pStyle w:val="TableHeader"/>
              <w:rPr>
                <w:rFonts w:eastAsia="Times New Roman"/>
              </w:rPr>
            </w:pPr>
            <w:r w:rsidRPr="00AA722E">
              <w:rPr>
                <w:rFonts w:eastAsia="Times New Roman"/>
              </w:rPr>
              <w:t>%</w:t>
            </w:r>
          </w:p>
        </w:tc>
        <w:tc>
          <w:tcPr>
            <w:tcW w:w="917" w:type="dxa"/>
            <w:tcBorders>
              <w:top w:val="nil"/>
              <w:left w:val="nil"/>
              <w:bottom w:val="nil"/>
              <w:right w:val="single" w:sz="4" w:space="0" w:color="FFFFFF"/>
            </w:tcBorders>
            <w:shd w:val="clear" w:color="auto" w:fill="0070CD"/>
            <w:noWrap/>
            <w:vAlign w:val="center"/>
            <w:hideMark/>
          </w:tcPr>
          <w:p w:rsidR="006A7080" w:rsidRPr="00AA722E" w:rsidRDefault="006A7080" w:rsidP="00283EC7">
            <w:pPr>
              <w:pStyle w:val="TableHeader"/>
              <w:rPr>
                <w:rFonts w:eastAsia="Times New Roman"/>
              </w:rPr>
            </w:pPr>
            <w:r w:rsidRPr="00AA722E">
              <w:rPr>
                <w:rFonts w:eastAsia="Times New Roman"/>
              </w:rPr>
              <w:t>Lower</w:t>
            </w:r>
          </w:p>
        </w:tc>
        <w:tc>
          <w:tcPr>
            <w:tcW w:w="805" w:type="dxa"/>
            <w:tcBorders>
              <w:top w:val="nil"/>
              <w:left w:val="nil"/>
              <w:bottom w:val="nil"/>
              <w:right w:val="single" w:sz="4" w:space="0" w:color="FFFFFF"/>
            </w:tcBorders>
            <w:shd w:val="clear" w:color="auto" w:fill="0070CD"/>
            <w:noWrap/>
            <w:vAlign w:val="center"/>
            <w:hideMark/>
          </w:tcPr>
          <w:p w:rsidR="006A7080" w:rsidRPr="00AA722E" w:rsidRDefault="006A7080" w:rsidP="00283EC7">
            <w:pPr>
              <w:pStyle w:val="TableHeader"/>
              <w:rPr>
                <w:rFonts w:eastAsia="Times New Roman"/>
              </w:rPr>
            </w:pPr>
            <w:r w:rsidRPr="00AA722E">
              <w:rPr>
                <w:rFonts w:eastAsia="Times New Roman"/>
              </w:rPr>
              <w:t>Upper</w:t>
            </w:r>
          </w:p>
        </w:tc>
        <w:tc>
          <w:tcPr>
            <w:tcW w:w="1182" w:type="dxa"/>
            <w:vMerge/>
            <w:tcBorders>
              <w:top w:val="single" w:sz="4" w:space="0" w:color="000000"/>
              <w:left w:val="single" w:sz="4" w:space="0" w:color="FFFFFF"/>
              <w:bottom w:val="nil"/>
              <w:right w:val="single" w:sz="4" w:space="0" w:color="FFFFFF"/>
            </w:tcBorders>
            <w:shd w:val="clear" w:color="auto" w:fill="0070CD"/>
            <w:vAlign w:val="center"/>
            <w:hideMark/>
          </w:tcPr>
          <w:p w:rsidR="006A7080" w:rsidRPr="00AA722E" w:rsidRDefault="006A7080" w:rsidP="00283EC7">
            <w:pPr>
              <w:pStyle w:val="TableHeader"/>
              <w:rPr>
                <w:rFonts w:eastAsia="Times New Roman"/>
              </w:rPr>
            </w:pPr>
          </w:p>
        </w:tc>
        <w:tc>
          <w:tcPr>
            <w:tcW w:w="1320" w:type="dxa"/>
            <w:vMerge/>
            <w:tcBorders>
              <w:top w:val="single" w:sz="4" w:space="0" w:color="000000"/>
              <w:left w:val="single" w:sz="4" w:space="0" w:color="FFFFFF"/>
              <w:bottom w:val="nil"/>
              <w:right w:val="single" w:sz="4" w:space="0" w:color="000000"/>
            </w:tcBorders>
            <w:shd w:val="clear" w:color="auto" w:fill="0070CD"/>
            <w:vAlign w:val="center"/>
            <w:hideMark/>
          </w:tcPr>
          <w:p w:rsidR="006A7080" w:rsidRPr="00AA722E" w:rsidRDefault="006A7080" w:rsidP="00283EC7">
            <w:pPr>
              <w:pStyle w:val="TableHeader"/>
              <w:rPr>
                <w:rFonts w:eastAsia="Times New Roman"/>
              </w:rPr>
            </w:pPr>
          </w:p>
        </w:tc>
      </w:tr>
      <w:tr w:rsidR="006A7080" w:rsidRPr="00FD22E1" w:rsidTr="00283EC7">
        <w:trPr>
          <w:trHeight w:val="300"/>
          <w:jc w:val="center"/>
        </w:trPr>
        <w:tc>
          <w:tcPr>
            <w:tcW w:w="1982" w:type="dxa"/>
            <w:tcBorders>
              <w:top w:val="nil"/>
              <w:left w:val="single" w:sz="4" w:space="0" w:color="000000"/>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proofErr w:type="spellStart"/>
            <w:r w:rsidRPr="00AA722E">
              <w:rPr>
                <w:rFonts w:eastAsia="Times New Roman"/>
              </w:rPr>
              <w:t>AutoDR</w:t>
            </w:r>
            <w:proofErr w:type="spellEnd"/>
            <w:r w:rsidRPr="00AA722E">
              <w:rPr>
                <w:rFonts w:eastAsia="Times New Roman"/>
              </w:rPr>
              <w:t>**</w:t>
            </w:r>
          </w:p>
        </w:tc>
        <w:tc>
          <w:tcPr>
            <w:tcW w:w="1164"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10</w:t>
            </w:r>
          </w:p>
        </w:tc>
        <w:tc>
          <w:tcPr>
            <w:tcW w:w="876"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276.4</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50.5%</w:t>
            </w:r>
          </w:p>
        </w:tc>
        <w:tc>
          <w:tcPr>
            <w:tcW w:w="917" w:type="dxa"/>
            <w:tcBorders>
              <w:top w:val="single" w:sz="4" w:space="0" w:color="auto"/>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186.8</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365.9</w:t>
            </w:r>
          </w:p>
        </w:tc>
        <w:tc>
          <w:tcPr>
            <w:tcW w:w="1182" w:type="dxa"/>
            <w:tcBorders>
              <w:top w:val="single" w:sz="4" w:space="0" w:color="auto"/>
              <w:left w:val="nil"/>
              <w:bottom w:val="single" w:sz="4" w:space="0" w:color="auto"/>
              <w:right w:val="single" w:sz="4" w:space="0" w:color="auto"/>
            </w:tcBorders>
            <w:shd w:val="clear" w:color="auto" w:fill="auto"/>
            <w:noWrap/>
            <w:vAlign w:val="bottom"/>
            <w:hideMark/>
          </w:tcPr>
          <w:p w:rsidR="006A7080" w:rsidRPr="00AA722E" w:rsidRDefault="006A7080" w:rsidP="00283EC7">
            <w:pPr>
              <w:pStyle w:val="TableText"/>
              <w:rPr>
                <w:rFonts w:eastAsia="Times New Roman"/>
              </w:rPr>
            </w:pPr>
            <w:r w:rsidRPr="00AA722E">
              <w:rPr>
                <w:rFonts w:eastAsia="Times New Roman"/>
              </w:rPr>
              <w:t>1,000.1</w:t>
            </w:r>
          </w:p>
        </w:tc>
        <w:tc>
          <w:tcPr>
            <w:tcW w:w="1320" w:type="dxa"/>
            <w:tcBorders>
              <w:top w:val="single" w:sz="4" w:space="0" w:color="auto"/>
              <w:left w:val="nil"/>
              <w:bottom w:val="single" w:sz="4" w:space="0" w:color="auto"/>
              <w:right w:val="single" w:sz="4" w:space="0" w:color="auto"/>
            </w:tcBorders>
            <w:shd w:val="clear" w:color="auto" w:fill="auto"/>
            <w:noWrap/>
            <w:vAlign w:val="bottom"/>
            <w:hideMark/>
          </w:tcPr>
          <w:p w:rsidR="006A7080" w:rsidRPr="00AA722E" w:rsidRDefault="006A7080" w:rsidP="00283EC7">
            <w:pPr>
              <w:pStyle w:val="TableText"/>
              <w:rPr>
                <w:rFonts w:eastAsia="Times New Roman"/>
              </w:rPr>
            </w:pPr>
            <w:r w:rsidRPr="00AA722E">
              <w:rPr>
                <w:rFonts w:eastAsia="Times New Roman"/>
              </w:rPr>
              <w:t>27.6%</w:t>
            </w:r>
          </w:p>
        </w:tc>
      </w:tr>
      <w:tr w:rsidR="006A7080" w:rsidRPr="00FD22E1" w:rsidTr="00283EC7">
        <w:trPr>
          <w:trHeight w:val="300"/>
          <w:jc w:val="center"/>
        </w:trPr>
        <w:tc>
          <w:tcPr>
            <w:tcW w:w="1982" w:type="dxa"/>
            <w:tcBorders>
              <w:top w:val="nil"/>
              <w:left w:val="single" w:sz="4" w:space="0" w:color="000000"/>
              <w:bottom w:val="single" w:sz="4" w:space="0" w:color="auto"/>
              <w:right w:val="single" w:sz="4" w:space="0" w:color="auto"/>
            </w:tcBorders>
            <w:shd w:val="clear" w:color="auto" w:fill="auto"/>
            <w:noWrap/>
            <w:vAlign w:val="center"/>
            <w:hideMark/>
          </w:tcPr>
          <w:p w:rsidR="006A7080" w:rsidRPr="00AA722E" w:rsidRDefault="002B6B84" w:rsidP="00283EC7">
            <w:pPr>
              <w:pStyle w:val="TableText"/>
              <w:rPr>
                <w:rFonts w:eastAsia="Times New Roman"/>
              </w:rPr>
            </w:pPr>
            <w:r>
              <w:rPr>
                <w:rFonts w:eastAsia="Times New Roman"/>
              </w:rPr>
              <w:t>TI</w:t>
            </w:r>
            <w:r w:rsidR="006A7080" w:rsidRPr="00AA722E">
              <w:rPr>
                <w:rFonts w:eastAsia="Times New Roman"/>
              </w:rPr>
              <w:t>**</w:t>
            </w:r>
          </w:p>
        </w:tc>
        <w:tc>
          <w:tcPr>
            <w:tcW w:w="1164"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4</w:t>
            </w:r>
          </w:p>
        </w:tc>
        <w:tc>
          <w:tcPr>
            <w:tcW w:w="876"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-7.7</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-3.0%</w:t>
            </w:r>
          </w:p>
        </w:tc>
        <w:tc>
          <w:tcPr>
            <w:tcW w:w="917"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-25.8</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10.4</w:t>
            </w:r>
          </w:p>
        </w:tc>
        <w:tc>
          <w:tcPr>
            <w:tcW w:w="1182" w:type="dxa"/>
            <w:tcBorders>
              <w:top w:val="nil"/>
              <w:left w:val="nil"/>
              <w:bottom w:val="single" w:sz="4" w:space="0" w:color="auto"/>
              <w:right w:val="single" w:sz="4" w:space="0" w:color="auto"/>
            </w:tcBorders>
            <w:shd w:val="clear" w:color="auto" w:fill="auto"/>
            <w:noWrap/>
            <w:vAlign w:val="bottom"/>
            <w:hideMark/>
          </w:tcPr>
          <w:p w:rsidR="006A7080" w:rsidRPr="00AA722E" w:rsidRDefault="006A7080" w:rsidP="00283EC7">
            <w:pPr>
              <w:pStyle w:val="TableText"/>
              <w:rPr>
                <w:rFonts w:eastAsia="Times New Roman"/>
              </w:rPr>
            </w:pPr>
            <w:r w:rsidRPr="00AA722E">
              <w:rPr>
                <w:rFonts w:eastAsia="Times New Roman"/>
              </w:rPr>
              <w:t>186.9</w:t>
            </w:r>
          </w:p>
        </w:tc>
        <w:tc>
          <w:tcPr>
            <w:tcW w:w="1320" w:type="dxa"/>
            <w:tcBorders>
              <w:top w:val="nil"/>
              <w:left w:val="nil"/>
              <w:bottom w:val="single" w:sz="4" w:space="0" w:color="auto"/>
              <w:right w:val="single" w:sz="4" w:space="0" w:color="auto"/>
            </w:tcBorders>
            <w:shd w:val="clear" w:color="auto" w:fill="auto"/>
            <w:noWrap/>
            <w:vAlign w:val="bottom"/>
            <w:hideMark/>
          </w:tcPr>
          <w:p w:rsidR="006A7080" w:rsidRPr="00AA722E" w:rsidRDefault="006A7080" w:rsidP="00283EC7">
            <w:pPr>
              <w:pStyle w:val="TableText"/>
              <w:rPr>
                <w:rFonts w:eastAsia="Times New Roman"/>
              </w:rPr>
            </w:pPr>
            <w:r w:rsidRPr="00AA722E">
              <w:rPr>
                <w:rFonts w:eastAsia="Times New Roman"/>
              </w:rPr>
              <w:t>-4.1%</w:t>
            </w:r>
          </w:p>
        </w:tc>
      </w:tr>
      <w:tr w:rsidR="006A7080" w:rsidRPr="00FD22E1" w:rsidTr="00283EC7">
        <w:trPr>
          <w:trHeight w:val="300"/>
          <w:jc w:val="center"/>
        </w:trPr>
        <w:tc>
          <w:tcPr>
            <w:tcW w:w="1982" w:type="dxa"/>
            <w:tcBorders>
              <w:top w:val="nil"/>
              <w:left w:val="single" w:sz="4" w:space="0" w:color="000000"/>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 xml:space="preserve">No TI or </w:t>
            </w:r>
            <w:proofErr w:type="spellStart"/>
            <w:r w:rsidRPr="00AA722E">
              <w:rPr>
                <w:rFonts w:eastAsia="Times New Roman"/>
              </w:rPr>
              <w:t>AutoDR</w:t>
            </w:r>
            <w:proofErr w:type="spellEnd"/>
          </w:p>
        </w:tc>
        <w:tc>
          <w:tcPr>
            <w:tcW w:w="1164"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1,799</w:t>
            </w:r>
          </w:p>
        </w:tc>
        <w:tc>
          <w:tcPr>
            <w:tcW w:w="876"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20.9</w:t>
            </w:r>
          </w:p>
        </w:tc>
        <w:tc>
          <w:tcPr>
            <w:tcW w:w="1237"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7.9%</w:t>
            </w:r>
          </w:p>
        </w:tc>
        <w:tc>
          <w:tcPr>
            <w:tcW w:w="917"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18.5</w:t>
            </w:r>
          </w:p>
        </w:tc>
        <w:tc>
          <w:tcPr>
            <w:tcW w:w="805"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23.3</w:t>
            </w:r>
          </w:p>
        </w:tc>
        <w:tc>
          <w:tcPr>
            <w:tcW w:w="1182"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NA</w:t>
            </w:r>
          </w:p>
        </w:tc>
        <w:tc>
          <w:tcPr>
            <w:tcW w:w="1320" w:type="dxa"/>
            <w:tcBorders>
              <w:top w:val="nil"/>
              <w:left w:val="nil"/>
              <w:bottom w:val="single" w:sz="4" w:space="0" w:color="auto"/>
              <w:right w:val="single" w:sz="4" w:space="0" w:color="auto"/>
            </w:tcBorders>
            <w:shd w:val="clear" w:color="auto" w:fill="auto"/>
            <w:noWrap/>
            <w:vAlign w:val="center"/>
            <w:hideMark/>
          </w:tcPr>
          <w:p w:rsidR="006A7080" w:rsidRPr="00AA722E" w:rsidRDefault="006A7080" w:rsidP="00283EC7">
            <w:pPr>
              <w:pStyle w:val="TableText"/>
              <w:rPr>
                <w:rFonts w:eastAsia="Times New Roman"/>
              </w:rPr>
            </w:pPr>
            <w:r w:rsidRPr="00AA722E">
              <w:rPr>
                <w:rFonts w:eastAsia="Times New Roman"/>
              </w:rPr>
              <w:t>NA</w:t>
            </w:r>
          </w:p>
        </w:tc>
      </w:tr>
    </w:tbl>
    <w:p w:rsidR="006A7080" w:rsidRDefault="006A7080" w:rsidP="006A7080">
      <w:pPr>
        <w:pStyle w:val="Footnote"/>
        <w:jc w:val="both"/>
      </w:pPr>
      <w:r w:rsidRPr="008E6FED">
        <w:t>*</w:t>
      </w:r>
      <w:r>
        <w:t xml:space="preserve"> </w:t>
      </w:r>
      <w:r w:rsidR="002B6B84" w:rsidRPr="002B6B84">
        <w:t>Summations across segmentation categories may not equal totals presented for all customers on the average event day (Table 4-1)</w:t>
      </w:r>
      <w:proofErr w:type="gramStart"/>
      <w:r w:rsidR="002B6B84" w:rsidRPr="002B6B84">
        <w:t xml:space="preserve">.  </w:t>
      </w:r>
      <w:proofErr w:type="gramEnd"/>
      <w:r w:rsidR="002B6B84" w:rsidRPr="002B6B84">
        <w:t>Sector specific estimates required estimation of separate difference-in-differences models and can result on rounding errors.</w:t>
      </w:r>
    </w:p>
    <w:p w:rsidR="006A7080" w:rsidRPr="00332A23" w:rsidRDefault="006A7080" w:rsidP="006A7080">
      <w:pPr>
        <w:pStyle w:val="Footnote"/>
        <w:jc w:val="both"/>
      </w:pPr>
      <w:r>
        <w:t>** Does not represent a conclusive finding for this reporting segment due to the small sample size.</w:t>
      </w:r>
    </w:p>
    <w:p w:rsidR="006A7080" w:rsidRDefault="006A7080" w:rsidP="006A7080">
      <w:pPr>
        <w:pStyle w:val="BodyParaAfterTableFigure"/>
      </w:pPr>
      <w:r>
        <w:t xml:space="preserve">The realization rate estimates were developed by taking the average impact for customers who were enrolled in TI or </w:t>
      </w:r>
      <w:proofErr w:type="spellStart"/>
      <w:r>
        <w:t>AutoDR</w:t>
      </w:r>
      <w:proofErr w:type="spellEnd"/>
      <w:r>
        <w:t xml:space="preserve"> and dividing it by the average of the approved TI or </w:t>
      </w:r>
      <w:proofErr w:type="spellStart"/>
      <w:r>
        <w:t>AutoDR</w:t>
      </w:r>
      <w:proofErr w:type="spellEnd"/>
      <w:r>
        <w:t xml:space="preserve"> load shed</w:t>
      </w:r>
      <w:proofErr w:type="gramStart"/>
      <w:r>
        <w:t xml:space="preserve">.  </w:t>
      </w:r>
      <w:proofErr w:type="gramEnd"/>
      <w:r>
        <w:t>TI realization rates depend on whether the equipment is typically used during event</w:t>
      </w:r>
      <w:r w:rsidR="002B6B84">
        <w:t>s</w:t>
      </w:r>
      <w:r>
        <w:t xml:space="preserve"> and whether customers decide t</w:t>
      </w:r>
      <w:r w:rsidR="002B6B84">
        <w:t>o drop load on CPP event days.</w:t>
      </w:r>
    </w:p>
    <w:p w:rsidR="006A7080" w:rsidRDefault="006A7080" w:rsidP="006A7080">
      <w:pPr>
        <w:pStyle w:val="Heading2"/>
        <w:spacing w:before="360"/>
        <w:ind w:left="547" w:hanging="547"/>
      </w:pPr>
      <w:bookmarkStart w:id="116" w:name="_Toc412650595"/>
      <w:bookmarkStart w:id="117" w:name="_Toc415494768"/>
      <w:r>
        <w:t xml:space="preserve">Early Enrollment Pilot </w:t>
      </w:r>
      <w:proofErr w:type="gramStart"/>
      <w:r>
        <w:t>Ex</w:t>
      </w:r>
      <w:proofErr w:type="gramEnd"/>
      <w:r>
        <w:t xml:space="preserve"> Post Load Impacts</w:t>
      </w:r>
      <w:bookmarkEnd w:id="116"/>
      <w:bookmarkEnd w:id="117"/>
    </w:p>
    <w:p w:rsidR="006A7080" w:rsidRDefault="006A7080" w:rsidP="006A7080">
      <w:pPr>
        <w:pStyle w:val="BodyParagraph"/>
      </w:pPr>
      <w:r>
        <w:t>Table 4-</w:t>
      </w:r>
      <w:r w:rsidR="004C74AD">
        <w:t xml:space="preserve">7 </w:t>
      </w:r>
      <w:r>
        <w:t>shows the ex post load impact estimates for the EEP CPP customers for each event</w:t>
      </w:r>
      <w:r w:rsidR="0067294A">
        <w:t> </w:t>
      </w:r>
      <w:r>
        <w:t>day and for the average event day in 2014</w:t>
      </w:r>
      <w:proofErr w:type="gramStart"/>
      <w:r>
        <w:t xml:space="preserve">.  </w:t>
      </w:r>
      <w:proofErr w:type="gramEnd"/>
      <w:r>
        <w:t xml:space="preserve">The average number </w:t>
      </w:r>
      <w:r w:rsidR="0067294A">
        <w:t xml:space="preserve">of </w:t>
      </w:r>
      <w:r w:rsidR="002B6B84">
        <w:t>EEP CPP</w:t>
      </w:r>
      <w:r>
        <w:t xml:space="preserve"> customers</w:t>
      </w:r>
      <w:r w:rsidR="0067294A">
        <w:t xml:space="preserve"> who</w:t>
      </w:r>
      <w:r>
        <w:t xml:space="preserve"> participat</w:t>
      </w:r>
      <w:r w:rsidR="0067294A">
        <w:t>ed</w:t>
      </w:r>
      <w:r>
        <w:t xml:space="preserve"> in the 10 PG&amp;E CPP events was 4,760</w:t>
      </w:r>
      <w:proofErr w:type="gramStart"/>
      <w:r>
        <w:t xml:space="preserve">.  </w:t>
      </w:r>
      <w:proofErr w:type="gramEnd"/>
      <w:r w:rsidRPr="00BD7C8E">
        <w:t xml:space="preserve">There is event-to-event variation in the number of </w:t>
      </w:r>
      <w:r w:rsidR="002B6B84">
        <w:t xml:space="preserve">EEP </w:t>
      </w:r>
      <w:r>
        <w:t>CPP</w:t>
      </w:r>
      <w:r w:rsidRPr="00BD7C8E">
        <w:t xml:space="preserve"> customers due to customer churn; some customers departed and others en</w:t>
      </w:r>
      <w:r>
        <w:t>rolled in CPP during summer 2014</w:t>
      </w:r>
      <w:proofErr w:type="gramStart"/>
      <w:r>
        <w:t xml:space="preserve">.  </w:t>
      </w:r>
      <w:proofErr w:type="gramEnd"/>
      <w:r>
        <w:t>The highest 2014 enrollment, 4,823</w:t>
      </w:r>
      <w:r w:rsidRPr="00BD7C8E">
        <w:t xml:space="preserve"> custom</w:t>
      </w:r>
      <w:r>
        <w:t>ers, occurred on the July 14</w:t>
      </w:r>
      <w:r w:rsidRPr="00BD7C8E">
        <w:t xml:space="preserve"> </w:t>
      </w:r>
      <w:r>
        <w:t>event</w:t>
      </w:r>
      <w:proofErr w:type="gramStart"/>
      <w:r>
        <w:t xml:space="preserve">.  </w:t>
      </w:r>
      <w:proofErr w:type="gramEnd"/>
      <w:r>
        <w:t>The lowest enrollment, 4,458</w:t>
      </w:r>
      <w:r w:rsidRPr="00BD7C8E">
        <w:t xml:space="preserve"> customers, occurred on the first event</w:t>
      </w:r>
      <w:proofErr w:type="gramStart"/>
      <w:r w:rsidRPr="00BD7C8E">
        <w:t>.</w:t>
      </w:r>
      <w:r>
        <w:t xml:space="preserve">  </w:t>
      </w:r>
      <w:proofErr w:type="gramEnd"/>
      <w:r>
        <w:t xml:space="preserve">The participant-weighted average temperature during the event </w:t>
      </w:r>
      <w:r w:rsidR="002B6B84">
        <w:t>period ranged from a low of 83.</w:t>
      </w:r>
      <w:r w:rsidR="001E41B6">
        <w:t>2</w:t>
      </w:r>
      <w:r>
        <w:rPr>
          <w:rFonts w:cs="Arial"/>
        </w:rPr>
        <w:t>°</w:t>
      </w:r>
      <w:r>
        <w:t>F to a high of 93.</w:t>
      </w:r>
      <w:r w:rsidR="001E41B6">
        <w:t>3</w:t>
      </w:r>
      <w:r>
        <w:rPr>
          <w:rFonts w:cs="Arial"/>
        </w:rPr>
        <w:t>°</w:t>
      </w:r>
      <w:r>
        <w:t>F</w:t>
      </w:r>
      <w:proofErr w:type="gramStart"/>
      <w:r>
        <w:t xml:space="preserve">.  </w:t>
      </w:r>
      <w:proofErr w:type="gramEnd"/>
      <w:r>
        <w:t>Percent impacts range</w:t>
      </w:r>
      <w:r w:rsidR="0067294A">
        <w:t>d</w:t>
      </w:r>
      <w:r>
        <w:t xml:space="preserve"> from 2.4% to 6.8%; average impacts </w:t>
      </w:r>
      <w:r>
        <w:lastRenderedPageBreak/>
        <w:t>range</w:t>
      </w:r>
      <w:r w:rsidR="0067294A">
        <w:t>d</w:t>
      </w:r>
      <w:r>
        <w:t xml:space="preserve"> from 0.1 kW to 0.4 kW; and aggregate impacts range</w:t>
      </w:r>
      <w:r w:rsidR="0067294A">
        <w:t>d</w:t>
      </w:r>
      <w:r>
        <w:t xml:space="preserve"> from 0.6 MW to 1.7 MW</w:t>
      </w:r>
      <w:proofErr w:type="gramStart"/>
      <w:r>
        <w:t xml:space="preserve">.  </w:t>
      </w:r>
      <w:proofErr w:type="gramEnd"/>
      <w:r>
        <w:t>On the average event day, the average participant reduced peak period load by 4.3%</w:t>
      </w:r>
      <w:proofErr w:type="gramStart"/>
      <w:r>
        <w:t xml:space="preserve">.  </w:t>
      </w:r>
      <w:proofErr w:type="gramEnd"/>
      <w:r>
        <w:t>In aggregate, PG&amp;E’s EEP CPP customers reduced load by an average of 1.1 MW across the 10 event days in 2014.</w:t>
      </w:r>
    </w:p>
    <w:p w:rsidR="006A7080" w:rsidRDefault="006A7080" w:rsidP="006A7080">
      <w:pPr>
        <w:pStyle w:val="TableFigureCaption"/>
      </w:pPr>
      <w:r w:rsidRPr="00627B26">
        <w:t>Table 4-</w:t>
      </w:r>
      <w:r>
        <w:t>7</w:t>
      </w:r>
      <w:r w:rsidRPr="00627B26">
        <w:t xml:space="preserve">: </w:t>
      </w:r>
      <w:r>
        <w:t xml:space="preserve">EEP </w:t>
      </w:r>
      <w:proofErr w:type="gramStart"/>
      <w:r>
        <w:t>Ex</w:t>
      </w:r>
      <w:proofErr w:type="gramEnd"/>
      <w:r>
        <w:t xml:space="preserve"> Post Load Impact Estimates by Event Day</w:t>
      </w:r>
      <w:r>
        <w:br/>
      </w:r>
      <w:r w:rsidRPr="00627B26">
        <w:t xml:space="preserve">PG&amp;E </w:t>
      </w:r>
      <w:r>
        <w:t xml:space="preserve">2014 </w:t>
      </w:r>
      <w:r w:rsidRPr="00627B26">
        <w:t>CPP Events</w:t>
      </w:r>
      <w:r>
        <w:t xml:space="preserve"> (2</w:t>
      </w:r>
      <w:r w:rsidR="004C74AD">
        <w:t xml:space="preserve"> to </w:t>
      </w:r>
      <w:r>
        <w:t>6 PM)</w:t>
      </w:r>
    </w:p>
    <w:tbl>
      <w:tblPr>
        <w:tblW w:w="11361" w:type="dxa"/>
        <w:jc w:val="center"/>
        <w:tblInd w:w="93" w:type="dxa"/>
        <w:tblLook w:val="04A0" w:firstRow="1" w:lastRow="0" w:firstColumn="1" w:lastColumn="0" w:noHBand="0" w:noVBand="1"/>
      </w:tblPr>
      <w:tblGrid>
        <w:gridCol w:w="1106"/>
        <w:gridCol w:w="960"/>
        <w:gridCol w:w="1037"/>
        <w:gridCol w:w="1649"/>
        <w:gridCol w:w="1289"/>
        <w:gridCol w:w="821"/>
        <w:gridCol w:w="1206"/>
        <w:gridCol w:w="1194"/>
        <w:gridCol w:w="960"/>
        <w:gridCol w:w="1139"/>
      </w:tblGrid>
      <w:tr w:rsidR="008028DC" w:rsidRPr="002F291F" w:rsidTr="008028DC">
        <w:trPr>
          <w:trHeight w:val="782"/>
          <w:jc w:val="center"/>
        </w:trPr>
        <w:tc>
          <w:tcPr>
            <w:tcW w:w="1106"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Event Date</w:t>
            </w:r>
          </w:p>
        </w:tc>
        <w:tc>
          <w:tcPr>
            <w:tcW w:w="96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Accounts</w:t>
            </w:r>
          </w:p>
        </w:tc>
        <w:tc>
          <w:tcPr>
            <w:tcW w:w="1649"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Customer Reference Load</w:t>
            </w:r>
          </w:p>
        </w:tc>
        <w:tc>
          <w:tcPr>
            <w:tcW w:w="1289"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Customer Load w/ DR</w:t>
            </w:r>
          </w:p>
        </w:tc>
        <w:tc>
          <w:tcPr>
            <w:tcW w:w="821"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Impact</w:t>
            </w:r>
          </w:p>
        </w:tc>
        <w:tc>
          <w:tcPr>
            <w:tcW w:w="1206"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Aggregate Impact</w:t>
            </w:r>
          </w:p>
        </w:tc>
        <w:tc>
          <w:tcPr>
            <w:tcW w:w="1194"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 Reduction</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Temp.</w:t>
            </w:r>
          </w:p>
        </w:tc>
        <w:tc>
          <w:tcPr>
            <w:tcW w:w="1139" w:type="dxa"/>
            <w:tcBorders>
              <w:top w:val="single" w:sz="4" w:space="0" w:color="auto"/>
              <w:left w:val="nil"/>
              <w:bottom w:val="single" w:sz="4" w:space="0" w:color="FFFFFF"/>
              <w:right w:val="single" w:sz="4" w:space="0" w:color="auto"/>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Daily Maximum Temp.</w:t>
            </w:r>
          </w:p>
        </w:tc>
      </w:tr>
      <w:tr w:rsidR="008028DC" w:rsidRPr="002F291F" w:rsidTr="008028DC">
        <w:trPr>
          <w:trHeight w:val="300"/>
          <w:jc w:val="center"/>
        </w:trPr>
        <w:tc>
          <w:tcPr>
            <w:tcW w:w="1106"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96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10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1649"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1289"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821"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1206"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(MW)</w:t>
            </w:r>
          </w:p>
        </w:tc>
        <w:tc>
          <w:tcPr>
            <w:tcW w:w="1194"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w:t>
            </w:r>
          </w:p>
        </w:tc>
        <w:tc>
          <w:tcPr>
            <w:tcW w:w="960"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°F</w:t>
            </w:r>
          </w:p>
        </w:tc>
        <w:tc>
          <w:tcPr>
            <w:tcW w:w="1139" w:type="dxa"/>
            <w:tcBorders>
              <w:top w:val="nil"/>
              <w:left w:val="nil"/>
              <w:bottom w:val="single" w:sz="4" w:space="0" w:color="auto"/>
              <w:right w:val="single" w:sz="4" w:space="0" w:color="auto"/>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°F</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6/9/2014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4,458</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5.7</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5.4</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1.1</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91.4</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92.2</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6/30/2014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4,793</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5.6</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0.3</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1.2</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90.2</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91.1</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4,798</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5.2</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0.1</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2.4%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83.3</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83.7</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7/7/2014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4,813</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4.9</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4.1%</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83.2</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83.8</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7/14/2014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4,823</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5.1</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4.0%</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86.7</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88.1</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7/25/2014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4,799</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5.6</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0.3</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1.6</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5.8%</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93.3</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93.9</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7/28/2014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4,794</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5.0</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0.4</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1.7</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6.8%</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85.0</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85.6</w:t>
            </w:r>
          </w:p>
        </w:tc>
      </w:tr>
      <w:tr w:rsidR="006A7080" w:rsidRPr="002F291F" w:rsidTr="008028DC">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7/29/2014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4,792</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5.6</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5.4</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3.8%</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88.5</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89.0</w:t>
            </w:r>
          </w:p>
        </w:tc>
      </w:tr>
      <w:tr w:rsidR="006A7080" w:rsidRPr="002F291F" w:rsidTr="008028DC">
        <w:trPr>
          <w:trHeight w:val="300"/>
          <w:jc w:val="center"/>
        </w:trPr>
        <w:tc>
          <w:tcPr>
            <w:tcW w:w="1106" w:type="dxa"/>
            <w:tcBorders>
              <w:top w:val="nil"/>
              <w:left w:val="single" w:sz="4" w:space="0" w:color="auto"/>
              <w:bottom w:val="single" w:sz="4" w:space="0" w:color="auto"/>
              <w:right w:val="nil"/>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7/31/2014</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Thu</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4,785</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5.7</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5.5</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3.7%</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88.4</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89.1</w:t>
            </w:r>
          </w:p>
        </w:tc>
      </w:tr>
      <w:tr w:rsidR="006A7080" w:rsidRPr="002F291F" w:rsidTr="008028DC">
        <w:trPr>
          <w:trHeight w:val="300"/>
          <w:jc w:val="center"/>
        </w:trPr>
        <w:tc>
          <w:tcPr>
            <w:tcW w:w="1106" w:type="dxa"/>
            <w:tcBorders>
              <w:top w:val="nil"/>
              <w:left w:val="single" w:sz="4" w:space="0" w:color="auto"/>
              <w:bottom w:val="single" w:sz="4" w:space="0" w:color="auto"/>
              <w:right w:val="nil"/>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9/12/2014</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4,747</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5.3</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5.1</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1.0</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3.9%</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88.9</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89.6</w:t>
            </w:r>
          </w:p>
        </w:tc>
      </w:tr>
      <w:tr w:rsidR="006A7080" w:rsidRPr="002F291F" w:rsidTr="008028DC">
        <w:trPr>
          <w:trHeight w:val="300"/>
          <w:jc w:val="center"/>
        </w:trPr>
        <w:tc>
          <w:tcPr>
            <w:tcW w:w="206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Avg. Event</w:t>
            </w:r>
          </w:p>
        </w:tc>
        <w:tc>
          <w:tcPr>
            <w:tcW w:w="1037"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4,760</w:t>
            </w:r>
          </w:p>
        </w:tc>
        <w:tc>
          <w:tcPr>
            <w:tcW w:w="164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5.4</w:t>
            </w:r>
          </w:p>
        </w:tc>
        <w:tc>
          <w:tcPr>
            <w:tcW w:w="128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5.2</w:t>
            </w:r>
          </w:p>
        </w:tc>
        <w:tc>
          <w:tcPr>
            <w:tcW w:w="821"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0.2</w:t>
            </w:r>
          </w:p>
        </w:tc>
        <w:tc>
          <w:tcPr>
            <w:tcW w:w="1206"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1.1</w:t>
            </w:r>
          </w:p>
        </w:tc>
        <w:tc>
          <w:tcPr>
            <w:tcW w:w="1194"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4.3%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87.9</w:t>
            </w:r>
          </w:p>
        </w:tc>
        <w:tc>
          <w:tcPr>
            <w:tcW w:w="1139"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b/>
                <w:bCs/>
                <w:color w:val="000000"/>
                <w:sz w:val="18"/>
                <w:szCs w:val="18"/>
              </w:rPr>
            </w:pPr>
            <w:r w:rsidRPr="008028DC">
              <w:rPr>
                <w:rFonts w:eastAsia="Times New Roman"/>
                <w:b/>
                <w:bCs/>
                <w:color w:val="000000"/>
                <w:sz w:val="18"/>
                <w:szCs w:val="18"/>
              </w:rPr>
              <w:t>88.4</w:t>
            </w:r>
          </w:p>
        </w:tc>
      </w:tr>
    </w:tbl>
    <w:p w:rsidR="00E73B03" w:rsidRDefault="00E73B03" w:rsidP="00E73B03">
      <w:pPr>
        <w:pStyle w:val="BodyParaAfterTableFigure"/>
        <w:rPr>
          <w:rFonts w:ascii="Calibri" w:hAnsi="Calibri"/>
        </w:rPr>
      </w:pPr>
      <w:r w:rsidRPr="00211B4A">
        <w:t xml:space="preserve">Figure </w:t>
      </w:r>
      <w:r>
        <w:t>4-5 also presents the</w:t>
      </w:r>
      <w:r w:rsidR="00A61E61">
        <w:t xml:space="preserve"> PG&amp;E EEP</w:t>
      </w:r>
      <w:r>
        <w:t xml:space="preserve"> ex post </w:t>
      </w:r>
      <w:r w:rsidRPr="00211B4A">
        <w:t>load impact</w:t>
      </w:r>
      <w:r>
        <w:t xml:space="preserve"> estimates</w:t>
      </w:r>
      <w:r w:rsidRPr="00211B4A">
        <w:t xml:space="preserve"> for </w:t>
      </w:r>
      <w:r>
        <w:t xml:space="preserve">the 2014 </w:t>
      </w:r>
      <w:r w:rsidRPr="00211B4A">
        <w:t>CPP event days a</w:t>
      </w:r>
      <w:r>
        <w:t xml:space="preserve">nd the average 2014 event day, </w:t>
      </w:r>
      <w:r w:rsidRPr="00211B4A">
        <w:t>but here the 90% confidence intervals</w:t>
      </w:r>
      <w:r>
        <w:t xml:space="preserve"> are shown with the point estimates</w:t>
      </w:r>
      <w:proofErr w:type="gramStart"/>
      <w:r w:rsidRPr="00211B4A">
        <w:t xml:space="preserve">. </w:t>
      </w:r>
      <w:r>
        <w:t xml:space="preserve"> </w:t>
      </w:r>
      <w:proofErr w:type="gramEnd"/>
      <w:r w:rsidRPr="00211B4A">
        <w:t>The wider confidence bands around the individual event day estimates</w:t>
      </w:r>
      <w:r>
        <w:t>, in comparison</w:t>
      </w:r>
      <w:r w:rsidRPr="00211B4A">
        <w:t xml:space="preserve"> to the average event day</w:t>
      </w:r>
      <w:r>
        <w:t>,</w:t>
      </w:r>
      <w:r w:rsidRPr="00211B4A">
        <w:t xml:space="preserve"> illustrate the noise inherent in measuring load im</w:t>
      </w:r>
      <w:r>
        <w:t>pacts for individual event days</w:t>
      </w:r>
      <w:r>
        <w:rPr>
          <w:rFonts w:cs="Arial"/>
        </w:rPr>
        <w:t>—</w:t>
      </w:r>
      <w:r w:rsidRPr="00211B4A">
        <w:t>average event day load impact estimate</w:t>
      </w:r>
      <w:r>
        <w:t>s</w:t>
      </w:r>
      <w:r w:rsidRPr="00211B4A">
        <w:t xml:space="preserve"> </w:t>
      </w:r>
      <w:r>
        <w:t>are</w:t>
      </w:r>
      <w:r w:rsidRPr="00211B4A">
        <w:t xml:space="preserve"> more precise</w:t>
      </w:r>
      <w:r>
        <w:t>; individual day impacts are noisier</w:t>
      </w:r>
      <w:r w:rsidRPr="00211B4A">
        <w:t xml:space="preserve">. </w:t>
      </w:r>
      <w:r>
        <w:t xml:space="preserve"> </w:t>
      </w:r>
    </w:p>
    <w:p w:rsidR="006A7080" w:rsidRDefault="006A7080" w:rsidP="006A7080">
      <w:pPr>
        <w:pStyle w:val="TableFigureCaption"/>
      </w:pPr>
      <w:r w:rsidRPr="00F92345">
        <w:lastRenderedPageBreak/>
        <w:t>Figure 4-</w:t>
      </w:r>
      <w:r>
        <w:t>5:</w:t>
      </w:r>
      <w:r w:rsidRPr="00F92345">
        <w:t xml:space="preserve"> </w:t>
      </w:r>
      <w:r>
        <w:t xml:space="preserve">EEP </w:t>
      </w:r>
      <w:proofErr w:type="gramStart"/>
      <w:r>
        <w:t>Ex</w:t>
      </w:r>
      <w:proofErr w:type="gramEnd"/>
      <w:r>
        <w:t xml:space="preserve"> Post Load Impact Estimates </w:t>
      </w:r>
      <w:r w:rsidRPr="00F92345">
        <w:t xml:space="preserve">with </w:t>
      </w:r>
      <w:r>
        <w:t xml:space="preserve">90% </w:t>
      </w:r>
      <w:r w:rsidRPr="00F92345">
        <w:t>Confidence Intervals</w:t>
      </w:r>
      <w:r>
        <w:t xml:space="preserve"> </w:t>
      </w:r>
      <w:r>
        <w:br/>
      </w:r>
      <w:r w:rsidRPr="00F92345">
        <w:t xml:space="preserve">PG&amp;E </w:t>
      </w:r>
      <w:r>
        <w:t xml:space="preserve">2014 </w:t>
      </w:r>
      <w:r w:rsidRPr="00F92345">
        <w:t>CPP Events</w:t>
      </w:r>
      <w:r>
        <w:t xml:space="preserve"> (2 to 6 PM)</w:t>
      </w:r>
    </w:p>
    <w:p w:rsidR="006A7080" w:rsidRDefault="006A7080" w:rsidP="006A7080">
      <w:pPr>
        <w:pStyle w:val="Footnote"/>
        <w:jc w:val="center"/>
      </w:pPr>
      <w:r>
        <w:rPr>
          <w:noProof/>
        </w:rPr>
        <w:drawing>
          <wp:inline distT="0" distB="0" distL="0" distR="0" wp14:anchorId="3325C351" wp14:editId="4AC2C966">
            <wp:extent cx="5943600" cy="302133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3021330"/>
                    </a:xfrm>
                    <a:prstGeom prst="rect">
                      <a:avLst/>
                    </a:prstGeom>
                  </pic:spPr>
                </pic:pic>
              </a:graphicData>
            </a:graphic>
          </wp:inline>
        </w:drawing>
      </w:r>
    </w:p>
    <w:p w:rsidR="006A7080" w:rsidRDefault="006A7080" w:rsidP="006A7080">
      <w:pPr>
        <w:pStyle w:val="Footnote"/>
      </w:pPr>
    </w:p>
    <w:p w:rsidR="006A7080" w:rsidRDefault="006A7080" w:rsidP="006A7080">
      <w:pPr>
        <w:pStyle w:val="Footnote"/>
      </w:pPr>
    </w:p>
    <w:p w:rsidR="006A7080" w:rsidRPr="002D5CD4" w:rsidRDefault="006A7080" w:rsidP="006A7080">
      <w:pPr>
        <w:pStyle w:val="BodyParagraph"/>
      </w:pPr>
    </w:p>
    <w:p w:rsidR="006A7080" w:rsidRDefault="006A7080" w:rsidP="006A7080">
      <w:pPr>
        <w:rPr>
          <w:rFonts w:eastAsia="Times New Roman" w:cs="Times New Roman"/>
          <w:b/>
          <w:color w:val="1F497D"/>
          <w:sz w:val="28"/>
          <w:szCs w:val="28"/>
        </w:rPr>
      </w:pPr>
      <w:bookmarkStart w:id="118" w:name="_Toc351453932"/>
      <w:bookmarkStart w:id="119" w:name="_Toc351455357"/>
      <w:bookmarkStart w:id="120" w:name="_Toc351462615"/>
      <w:bookmarkStart w:id="121" w:name="_Toc351469398"/>
      <w:bookmarkStart w:id="122" w:name="_Toc351480827"/>
      <w:bookmarkStart w:id="123" w:name="_Toc351453933"/>
      <w:bookmarkStart w:id="124" w:name="_Toc351455358"/>
      <w:bookmarkStart w:id="125" w:name="_Toc351462616"/>
      <w:bookmarkStart w:id="126" w:name="_Toc351469399"/>
      <w:bookmarkStart w:id="127" w:name="_Toc351480828"/>
      <w:bookmarkEnd w:id="118"/>
      <w:bookmarkEnd w:id="119"/>
      <w:bookmarkEnd w:id="120"/>
      <w:bookmarkEnd w:id="121"/>
      <w:bookmarkEnd w:id="122"/>
      <w:bookmarkEnd w:id="123"/>
      <w:bookmarkEnd w:id="124"/>
      <w:bookmarkEnd w:id="125"/>
      <w:bookmarkEnd w:id="126"/>
      <w:bookmarkEnd w:id="127"/>
      <w:r>
        <w:br w:type="page"/>
      </w:r>
    </w:p>
    <w:p w:rsidR="006A7080" w:rsidRDefault="006A7080" w:rsidP="006A7080">
      <w:pPr>
        <w:pStyle w:val="Heading1"/>
        <w:ind w:left="432" w:hanging="432"/>
      </w:pPr>
      <w:bookmarkStart w:id="128" w:name="_Toc412650596"/>
      <w:bookmarkStart w:id="129" w:name="_Toc415494769"/>
      <w:r>
        <w:lastRenderedPageBreak/>
        <w:t>PG&amp;E Ex Ante Load Impacts</w:t>
      </w:r>
      <w:bookmarkEnd w:id="128"/>
      <w:bookmarkEnd w:id="129"/>
    </w:p>
    <w:p w:rsidR="006A7080" w:rsidRDefault="006A7080" w:rsidP="006A7080">
      <w:pPr>
        <w:pStyle w:val="BodyParagraph"/>
        <w:rPr>
          <w:highlight w:val="yellow"/>
        </w:rPr>
      </w:pPr>
      <w:r w:rsidRPr="007954D4">
        <w:t xml:space="preserve">This section presents ex ante load impact estimates for </w:t>
      </w:r>
      <w:r>
        <w:t>PG&amp;E's</w:t>
      </w:r>
      <w:r w:rsidRPr="007954D4">
        <w:t xml:space="preserve"> </w:t>
      </w:r>
      <w:r>
        <w:t>non-residential CPP tariff</w:t>
      </w:r>
      <w:proofErr w:type="gramStart"/>
      <w:r>
        <w:t xml:space="preserve">.  </w:t>
      </w:r>
      <w:proofErr w:type="gramEnd"/>
      <w:r>
        <w:t>As discussed in Section 3, the main purpose of ex ante load impact estimates is to reflect the load reduction capability of a demand response resource under a standard set of conditions that align with system planning</w:t>
      </w:r>
      <w:proofErr w:type="gramStart"/>
      <w:r>
        <w:t xml:space="preserve">.  </w:t>
      </w:r>
      <w:proofErr w:type="gramEnd"/>
      <w:r>
        <w:t>These estimates are used in assessing alternatives for meeting peak demand, cost-effectiveness comparisons and long-term planning</w:t>
      </w:r>
      <w:proofErr w:type="gramStart"/>
      <w:r>
        <w:t xml:space="preserve">.  </w:t>
      </w:r>
      <w:proofErr w:type="gramEnd"/>
      <w:r>
        <w:t xml:space="preserve">The </w:t>
      </w:r>
      <w:proofErr w:type="spellStart"/>
      <w:r>
        <w:t>ex ante</w:t>
      </w:r>
      <w:proofErr w:type="spellEnd"/>
      <w:r>
        <w:t xml:space="preserve"> impact estimates for PG&amp;E are based on ex post load impacts of CPP events that occurred in 2013 and 2014 for the group of persistent customers that remained on the CPP tariff for both years</w:t>
      </w:r>
      <w:proofErr w:type="gramStart"/>
      <w:r>
        <w:t xml:space="preserve">.  </w:t>
      </w:r>
      <w:proofErr w:type="gramEnd"/>
      <w:r>
        <w:t xml:space="preserve">In total, load impact estimates for up to 18 events were used as input to the </w:t>
      </w:r>
      <w:proofErr w:type="spellStart"/>
      <w:r>
        <w:t>ex ante</w:t>
      </w:r>
      <w:proofErr w:type="spellEnd"/>
      <w:r>
        <w:t xml:space="preserve"> model.</w:t>
      </w:r>
      <w:r w:rsidR="00EA4788">
        <w:rPr>
          <w:rStyle w:val="FootnoteReference"/>
        </w:rPr>
        <w:footnoteReference w:id="18"/>
      </w:r>
      <w:proofErr w:type="gramStart"/>
      <w:r>
        <w:t xml:space="preserve">  </w:t>
      </w:r>
      <w:proofErr w:type="gramEnd"/>
      <w:r>
        <w:t>All</w:t>
      </w:r>
      <w:r w:rsidR="004C74AD">
        <w:t> </w:t>
      </w:r>
      <w:r>
        <w:t>load impact estimates presented here are incremental to the effects of the underlying TOU</w:t>
      </w:r>
      <w:r w:rsidR="004C74AD">
        <w:t> </w:t>
      </w:r>
      <w:r>
        <w:t>rates.</w:t>
      </w:r>
    </w:p>
    <w:p w:rsidR="00464A3B" w:rsidRDefault="006A7080" w:rsidP="00464A3B">
      <w:pPr>
        <w:pStyle w:val="BodyParagraph"/>
      </w:pPr>
      <w:r>
        <w:t>E</w:t>
      </w:r>
      <w:r w:rsidRPr="00B73C21">
        <w:t xml:space="preserve">x ante load impact projections </w:t>
      </w:r>
      <w:r>
        <w:t xml:space="preserve">are shown separately </w:t>
      </w:r>
      <w:r w:rsidRPr="00B73C21">
        <w:t xml:space="preserve">for </w:t>
      </w:r>
      <w:r>
        <w:t xml:space="preserve">small, </w:t>
      </w:r>
      <w:r w:rsidRPr="00B73C21">
        <w:t>medium and large customers projected to</w:t>
      </w:r>
      <w:r>
        <w:t> </w:t>
      </w:r>
      <w:r w:rsidRPr="00B73C21">
        <w:t xml:space="preserve">receive service under PG&amp;E’s </w:t>
      </w:r>
      <w:r>
        <w:t xml:space="preserve">default </w:t>
      </w:r>
      <w:r w:rsidRPr="00B73C21">
        <w:t>CPP tariff</w:t>
      </w:r>
      <w:proofErr w:type="gramStart"/>
      <w:r w:rsidRPr="00B73C21">
        <w:t xml:space="preserve">.  </w:t>
      </w:r>
      <w:proofErr w:type="gramEnd"/>
      <w:r w:rsidR="0020552B">
        <w:t>The l</w:t>
      </w:r>
      <w:r w:rsidRPr="00B73C21">
        <w:t xml:space="preserve">oad reduction capability is summarized </w:t>
      </w:r>
      <w:r>
        <w:t>for each segment under</w:t>
      </w:r>
      <w:r w:rsidRPr="00B73C21">
        <w:t xml:space="preserve"> annual system peak day condition</w:t>
      </w:r>
      <w:r>
        <w:t>s for</w:t>
      </w:r>
      <w:r w:rsidRPr="00B73C21">
        <w:t xml:space="preserve"> </w:t>
      </w:r>
      <w:r>
        <w:t xml:space="preserve">a </w:t>
      </w:r>
      <w:r w:rsidRPr="00B73C21">
        <w:t>1-in-2 and a 1</w:t>
      </w:r>
      <w:r w:rsidR="004C74AD">
        <w:noBreakHyphen/>
      </w:r>
      <w:r>
        <w:t>in</w:t>
      </w:r>
      <w:r w:rsidR="004C74AD">
        <w:noBreakHyphen/>
      </w:r>
      <w:r>
        <w:t>10 weather year for selected years (e.g., 2015, 2016</w:t>
      </w:r>
      <w:r w:rsidR="0020552B">
        <w:t>, 2017</w:t>
      </w:r>
      <w:r>
        <w:t xml:space="preserve"> and 2025)</w:t>
      </w:r>
      <w:r w:rsidR="0020552B">
        <w:t>,</w:t>
      </w:r>
      <w:r>
        <w:rPr>
          <w:rStyle w:val="FootnoteReference"/>
        </w:rPr>
        <w:footnoteReference w:id="19"/>
      </w:r>
      <w:r>
        <w:t xml:space="preserve"> based on PG&amp;E and CAISO weather scenarios</w:t>
      </w:r>
      <w:proofErr w:type="gramStart"/>
      <w:r w:rsidRPr="00B73C21">
        <w:t xml:space="preserve">. </w:t>
      </w:r>
      <w:r>
        <w:t xml:space="preserve"> </w:t>
      </w:r>
      <w:proofErr w:type="gramEnd"/>
      <w:r>
        <w:t xml:space="preserve">The estimates presented here are not </w:t>
      </w:r>
      <w:r w:rsidR="0020552B">
        <w:t xml:space="preserve">adjusted </w:t>
      </w:r>
      <w:r>
        <w:t>for dual enrollment of</w:t>
      </w:r>
      <w:r w:rsidR="004C74AD">
        <w:t> </w:t>
      </w:r>
      <w:r>
        <w:t>CPP participants in other DR programs</w:t>
      </w:r>
      <w:proofErr w:type="gramStart"/>
      <w:r>
        <w:t xml:space="preserve">.  </w:t>
      </w:r>
      <w:proofErr w:type="gramEnd"/>
      <w:r>
        <w:t xml:space="preserve">Portfolio estimates that net out impacts for other programs if called at the same time are presented in Appendix </w:t>
      </w:r>
      <w:r w:rsidR="0020552B">
        <w:t>E</w:t>
      </w:r>
      <w:proofErr w:type="gramStart"/>
      <w:r>
        <w:t xml:space="preserve">.  </w:t>
      </w:r>
      <w:proofErr w:type="gramEnd"/>
      <w:r>
        <w:t xml:space="preserve">Explanations of how CPP ex ante load </w:t>
      </w:r>
      <w:r w:rsidRPr="00B73C21">
        <w:t>impact</w:t>
      </w:r>
      <w:r>
        <w:t xml:space="preserve"> estimates</w:t>
      </w:r>
      <w:r w:rsidRPr="00B73C21">
        <w:t xml:space="preserve"> vary by geographic</w:t>
      </w:r>
      <w:r>
        <w:t xml:space="preserve"> location and month under</w:t>
      </w:r>
      <w:r w:rsidRPr="00B73C21">
        <w:t xml:space="preserve"> standardized ex ante conditions</w:t>
      </w:r>
      <w:r>
        <w:t xml:space="preserve"> are also included in this section</w:t>
      </w:r>
      <w:r w:rsidRPr="00B73C21">
        <w:t>.</w:t>
      </w:r>
    </w:p>
    <w:p w:rsidR="006A7080" w:rsidRDefault="006A7080" w:rsidP="006A7080">
      <w:pPr>
        <w:pStyle w:val="Heading2"/>
        <w:ind w:left="576" w:hanging="576"/>
      </w:pPr>
      <w:bookmarkStart w:id="130" w:name="_Toc415494770"/>
      <w:r>
        <w:t>Large C&amp;I Ex Ante Load Impacts</w:t>
      </w:r>
      <w:bookmarkEnd w:id="130"/>
    </w:p>
    <w:p w:rsidR="006A7080" w:rsidRDefault="006A7080" w:rsidP="006A7080">
      <w:pPr>
        <w:pStyle w:val="BodyParagraph"/>
      </w:pPr>
      <w:r>
        <w:t xml:space="preserve">As discussed in Section 3, the </w:t>
      </w:r>
      <w:proofErr w:type="spellStart"/>
      <w:r>
        <w:t>ex ante</w:t>
      </w:r>
      <w:proofErr w:type="spellEnd"/>
      <w:r>
        <w:t xml:space="preserve"> load impact estimates for large C&amp;I customers are based</w:t>
      </w:r>
      <w:r w:rsidR="002844CF">
        <w:t> </w:t>
      </w:r>
      <w:r>
        <w:t>on a regression model that relates impacts to weather conditions using the ex post impac</w:t>
      </w:r>
      <w:r w:rsidR="0020552B">
        <w:t>t</w:t>
      </w:r>
      <w:r>
        <w:t>s and weather to estimate model coefficients</w:t>
      </w:r>
      <w:proofErr w:type="gramStart"/>
      <w:r>
        <w:t xml:space="preserve">.  </w:t>
      </w:r>
      <w:proofErr w:type="gramEnd"/>
      <w:r>
        <w:t>The model is based on ex post data from</w:t>
      </w:r>
      <w:r w:rsidR="002844CF">
        <w:t> </w:t>
      </w:r>
      <w:r>
        <w:t xml:space="preserve">both 2013 and 2014 for the group of persistent customers who were enrolled in all 2013 and 2014 event days.    </w:t>
      </w:r>
    </w:p>
    <w:p w:rsidR="006A7080" w:rsidRDefault="006A7080" w:rsidP="006A7080">
      <w:pPr>
        <w:pStyle w:val="BodyParagraph"/>
      </w:pPr>
      <w:r>
        <w:t>The persistent customer population is a subset of the 2014 CPP population</w:t>
      </w:r>
      <w:proofErr w:type="gramStart"/>
      <w:r>
        <w:t xml:space="preserve">.  </w:t>
      </w:r>
      <w:proofErr w:type="gramEnd"/>
      <w:r>
        <w:t>As such, they deliver different load impacts</w:t>
      </w:r>
      <w:proofErr w:type="gramStart"/>
      <w:r>
        <w:t xml:space="preserve">.  </w:t>
      </w:r>
      <w:proofErr w:type="gramEnd"/>
      <w:r>
        <w:t>Their load impacts are used for ex ante modeling, so in order to</w:t>
      </w:r>
      <w:r w:rsidR="002844CF">
        <w:t> </w:t>
      </w:r>
      <w:r>
        <w:t xml:space="preserve">demonstrate how ex ante load impacts are derived from ex post </w:t>
      </w:r>
      <w:proofErr w:type="gramStart"/>
      <w:r>
        <w:t>impacts,</w:t>
      </w:r>
      <w:proofErr w:type="gramEnd"/>
      <w:r>
        <w:t xml:space="preserve"> we address the difference in impacts below.</w:t>
      </w:r>
    </w:p>
    <w:p w:rsidR="00B05F6A" w:rsidRDefault="006A7080" w:rsidP="006A7080">
      <w:pPr>
        <w:pStyle w:val="BodyParagraph"/>
      </w:pPr>
      <w:r>
        <w:t>Table 5-1 shows the ex post load impact estimates for each event day and for the average event day in 2013 and 2014 for large, persistent customers</w:t>
      </w:r>
      <w:proofErr w:type="gramStart"/>
      <w:r>
        <w:t xml:space="preserve">.  </w:t>
      </w:r>
      <w:proofErr w:type="gramEnd"/>
      <w:r>
        <w:t>The participant-weighted average temperature during the event period ranged from a low of 82.8</w:t>
      </w:r>
      <w:r>
        <w:rPr>
          <w:rFonts w:cs="Arial"/>
        </w:rPr>
        <w:t>°</w:t>
      </w:r>
      <w:r>
        <w:t>F to a high of 93.3</w:t>
      </w:r>
      <w:r>
        <w:rPr>
          <w:rFonts w:cs="Arial"/>
        </w:rPr>
        <w:t>°</w:t>
      </w:r>
      <w:r>
        <w:t>F</w:t>
      </w:r>
      <w:proofErr w:type="gramStart"/>
      <w:r>
        <w:t xml:space="preserve">.  </w:t>
      </w:r>
      <w:proofErr w:type="gramEnd"/>
      <w:r>
        <w:t>Percent impacts range from 5.5% to 12.5%; average impacts range from 17.1 kW to 38.9 kW; and aggregate impacts range from 20.1 MW to 45.7 MW</w:t>
      </w:r>
      <w:proofErr w:type="gramStart"/>
      <w:r>
        <w:t xml:space="preserve">.  </w:t>
      </w:r>
      <w:proofErr w:type="gramEnd"/>
      <w:r w:rsidR="00B05F6A">
        <w:br w:type="page"/>
      </w:r>
    </w:p>
    <w:p w:rsidR="006A7080" w:rsidRDefault="006A7080" w:rsidP="006A7080">
      <w:pPr>
        <w:pStyle w:val="TableFigureCaption"/>
      </w:pPr>
      <w:r>
        <w:lastRenderedPageBreak/>
        <w:t>Table 5</w:t>
      </w:r>
      <w:r w:rsidRPr="00627B26">
        <w:t xml:space="preserve">-1: </w:t>
      </w:r>
      <w:r>
        <w:t xml:space="preserve">Default CPP Ex Post Load Impact Estimates for </w:t>
      </w:r>
      <w:r w:rsidR="00B05F6A">
        <w:br/>
      </w:r>
      <w:r>
        <w:t>Persistent Customers by Event Day</w:t>
      </w:r>
      <w:r>
        <w:br/>
      </w:r>
      <w:r w:rsidRPr="00627B26">
        <w:t xml:space="preserve">PG&amp;E </w:t>
      </w:r>
      <w:r>
        <w:t xml:space="preserve">2013, 2014 </w:t>
      </w:r>
      <w:r w:rsidRPr="00627B26">
        <w:t>CPP Events</w:t>
      </w:r>
      <w:r>
        <w:t xml:space="preserve"> (2</w:t>
      </w:r>
      <w:r w:rsidR="002844CF">
        <w:t xml:space="preserve"> to </w:t>
      </w:r>
      <w:r>
        <w:t>6 PM)</w:t>
      </w:r>
    </w:p>
    <w:tbl>
      <w:tblPr>
        <w:tblW w:w="10681" w:type="dxa"/>
        <w:jc w:val="center"/>
        <w:tblInd w:w="93" w:type="dxa"/>
        <w:tblLook w:val="04A0" w:firstRow="1" w:lastRow="0" w:firstColumn="1" w:lastColumn="0" w:noHBand="0" w:noVBand="1"/>
      </w:tblPr>
      <w:tblGrid>
        <w:gridCol w:w="1017"/>
        <w:gridCol w:w="960"/>
        <w:gridCol w:w="1037"/>
        <w:gridCol w:w="1527"/>
        <w:gridCol w:w="1340"/>
        <w:gridCol w:w="797"/>
        <w:gridCol w:w="1107"/>
        <w:gridCol w:w="1096"/>
        <w:gridCol w:w="960"/>
        <w:gridCol w:w="960"/>
      </w:tblGrid>
      <w:tr w:rsidR="008028DC" w:rsidRPr="00F73B02" w:rsidTr="008028DC">
        <w:trPr>
          <w:trHeight w:val="917"/>
          <w:jc w:val="center"/>
        </w:trPr>
        <w:tc>
          <w:tcPr>
            <w:tcW w:w="1017"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Event Date</w:t>
            </w:r>
          </w:p>
        </w:tc>
        <w:tc>
          <w:tcPr>
            <w:tcW w:w="96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Accounts</w:t>
            </w:r>
          </w:p>
        </w:tc>
        <w:tc>
          <w:tcPr>
            <w:tcW w:w="1527"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Customer Reference Load</w:t>
            </w:r>
          </w:p>
        </w:tc>
        <w:tc>
          <w:tcPr>
            <w:tcW w:w="1340"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Customer Load w/ DR</w:t>
            </w:r>
          </w:p>
        </w:tc>
        <w:tc>
          <w:tcPr>
            <w:tcW w:w="677"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Impact</w:t>
            </w:r>
          </w:p>
        </w:tc>
        <w:tc>
          <w:tcPr>
            <w:tcW w:w="1107"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Aggregate Impact</w:t>
            </w:r>
          </w:p>
        </w:tc>
        <w:tc>
          <w:tcPr>
            <w:tcW w:w="1096"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 Reduction</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Avg. Event Temp.</w:t>
            </w:r>
          </w:p>
        </w:tc>
        <w:tc>
          <w:tcPr>
            <w:tcW w:w="960" w:type="dxa"/>
            <w:tcBorders>
              <w:top w:val="single" w:sz="4" w:space="0" w:color="auto"/>
              <w:left w:val="nil"/>
              <w:bottom w:val="single" w:sz="4" w:space="0" w:color="FFFFFF"/>
              <w:right w:val="single" w:sz="4" w:space="0" w:color="auto"/>
            </w:tcBorders>
            <w:shd w:val="clear" w:color="auto" w:fill="0070CD"/>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Daily Max. Temp.</w:t>
            </w:r>
          </w:p>
        </w:tc>
      </w:tr>
      <w:tr w:rsidR="008028DC" w:rsidRPr="00F73B02" w:rsidTr="008028DC">
        <w:trPr>
          <w:trHeight w:val="300"/>
          <w:jc w:val="center"/>
        </w:trPr>
        <w:tc>
          <w:tcPr>
            <w:tcW w:w="1017"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96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10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6A7080" w:rsidRPr="008028DC" w:rsidRDefault="006A7080" w:rsidP="00283EC7">
            <w:pPr>
              <w:pStyle w:val="TableHeader"/>
              <w:rPr>
                <w:rFonts w:eastAsia="Times New Roman"/>
                <w:sz w:val="18"/>
                <w:szCs w:val="18"/>
              </w:rPr>
            </w:pPr>
          </w:p>
        </w:tc>
        <w:tc>
          <w:tcPr>
            <w:tcW w:w="1527"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1340"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677"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(kW)</w:t>
            </w:r>
          </w:p>
        </w:tc>
        <w:tc>
          <w:tcPr>
            <w:tcW w:w="1107"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(MW)</w:t>
            </w:r>
          </w:p>
        </w:tc>
        <w:tc>
          <w:tcPr>
            <w:tcW w:w="1096"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w:t>
            </w:r>
          </w:p>
        </w:tc>
        <w:tc>
          <w:tcPr>
            <w:tcW w:w="960" w:type="dxa"/>
            <w:tcBorders>
              <w:top w:val="nil"/>
              <w:left w:val="nil"/>
              <w:bottom w:val="single" w:sz="4" w:space="0" w:color="auto"/>
              <w:right w:val="single" w:sz="4" w:space="0" w:color="FFFFFF"/>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(°F)</w:t>
            </w:r>
          </w:p>
        </w:tc>
        <w:tc>
          <w:tcPr>
            <w:tcW w:w="960" w:type="dxa"/>
            <w:tcBorders>
              <w:top w:val="nil"/>
              <w:left w:val="nil"/>
              <w:bottom w:val="single" w:sz="4" w:space="0" w:color="auto"/>
              <w:right w:val="single" w:sz="4" w:space="0" w:color="auto"/>
            </w:tcBorders>
            <w:shd w:val="clear" w:color="auto" w:fill="0070CD"/>
            <w:noWrap/>
            <w:vAlign w:val="center"/>
            <w:hideMark/>
          </w:tcPr>
          <w:p w:rsidR="006A7080" w:rsidRPr="008028DC" w:rsidRDefault="006A7080" w:rsidP="00283EC7">
            <w:pPr>
              <w:pStyle w:val="TableHeader"/>
              <w:rPr>
                <w:rFonts w:eastAsia="Times New Roman"/>
                <w:sz w:val="18"/>
                <w:szCs w:val="18"/>
              </w:rPr>
            </w:pPr>
            <w:r w:rsidRPr="008028DC">
              <w:rPr>
                <w:rFonts w:eastAsia="Times New Roman"/>
                <w:sz w:val="18"/>
                <w:szCs w:val="18"/>
              </w:rPr>
              <w:t>(°F)</w:t>
            </w:r>
          </w:p>
        </w:tc>
      </w:tr>
      <w:tr w:rsidR="006A7080" w:rsidRPr="00F73B02" w:rsidTr="008028DC">
        <w:trPr>
          <w:trHeight w:val="300"/>
          <w:jc w:val="center"/>
        </w:trPr>
        <w:tc>
          <w:tcPr>
            <w:tcW w:w="10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6/7/2013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Fri</w:t>
            </w:r>
          </w:p>
        </w:tc>
        <w:tc>
          <w:tcPr>
            <w:tcW w:w="1037" w:type="dxa"/>
            <w:tcBorders>
              <w:top w:val="single" w:sz="4" w:space="0" w:color="auto"/>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290.9</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264.8</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26.1</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30.6</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9.0%</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88.1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100.5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6/28/2013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296.7</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273.6</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23.1</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27.1</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7.8%</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92.8</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102.0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311.1</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272.9</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38.2</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44.8</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12.3%</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103.5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312.1</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273.2</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38.9</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45.7</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12.5%</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91.0</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108.0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7/9/2013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299.0</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267.9</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31.1</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36.5</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88.7</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103.0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7/19/2013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272.8</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253.6</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19.2</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22.5</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7.0%</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84.1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99.5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9/9/2013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309.1</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292.0</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17.1</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20.1</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5.5%</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88.2</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101.0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9/10/2013</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304.0</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285.1</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18.9</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22.2</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6.2%</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81.1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99.0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6/9/2014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298.6</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276.2</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22.4</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26.3</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7.5%</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91.0</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108.5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6/30/2014</w:t>
            </w:r>
          </w:p>
        </w:tc>
        <w:tc>
          <w:tcPr>
            <w:tcW w:w="960" w:type="dxa"/>
            <w:tcBorders>
              <w:top w:val="nil"/>
              <w:left w:val="nil"/>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290.7</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264.3</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26.4</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31.0</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89.6</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105.0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277.2</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257.8</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19.3</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22.7</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7.0%</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82.9</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106.0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7/7/2014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276.4</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252.4</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24.1</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28.2</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8.7%</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82.8</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104.5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7/14/2014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293.0</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259.7</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33.3</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39.1</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85.7</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102.5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7/25/2014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296.8</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269.8</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27.0</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31.7</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93.3</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102.0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7/28/2014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293.2</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260.7</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32.5</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38.2</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84.6</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100.5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7/29/2014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296.3</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266.5</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29.8</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35.0</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10.1%</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88.2</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103.0</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7/31/2014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298.6</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269.9</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28.7</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33.7</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9.6%</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87.7</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106.5</w:t>
            </w:r>
          </w:p>
        </w:tc>
      </w:tr>
      <w:tr w:rsidR="006A7080" w:rsidRPr="00F73B02" w:rsidTr="008028DC">
        <w:trPr>
          <w:trHeight w:val="30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6A7080" w:rsidRPr="008028DC" w:rsidRDefault="006A7080" w:rsidP="00283EC7">
            <w:pPr>
              <w:pStyle w:val="TableText"/>
              <w:rPr>
                <w:rFonts w:eastAsia="Times New Roman"/>
                <w:sz w:val="18"/>
                <w:szCs w:val="18"/>
              </w:rPr>
            </w:pPr>
            <w:r w:rsidRPr="008028DC">
              <w:rPr>
                <w:rFonts w:eastAsia="Times New Roman"/>
                <w:sz w:val="18"/>
                <w:szCs w:val="18"/>
              </w:rPr>
              <w:t>9/12/2014</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1,174</w:t>
            </w:r>
          </w:p>
        </w:tc>
        <w:tc>
          <w:tcPr>
            <w:tcW w:w="152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303.2</w:t>
            </w:r>
          </w:p>
        </w:tc>
        <w:tc>
          <w:tcPr>
            <w:tcW w:w="134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280.9</w:t>
            </w:r>
          </w:p>
        </w:tc>
        <w:tc>
          <w:tcPr>
            <w:tcW w:w="67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22.2</w:t>
            </w:r>
          </w:p>
        </w:tc>
        <w:tc>
          <w:tcPr>
            <w:tcW w:w="1107"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26.1</w:t>
            </w:r>
          </w:p>
        </w:tc>
        <w:tc>
          <w:tcPr>
            <w:tcW w:w="1096"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7.3%</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88.6</w:t>
            </w:r>
          </w:p>
        </w:tc>
        <w:tc>
          <w:tcPr>
            <w:tcW w:w="960" w:type="dxa"/>
            <w:tcBorders>
              <w:top w:val="nil"/>
              <w:left w:val="nil"/>
              <w:bottom w:val="single" w:sz="4" w:space="0" w:color="auto"/>
              <w:right w:val="single" w:sz="4" w:space="0" w:color="auto"/>
            </w:tcBorders>
            <w:shd w:val="clear" w:color="auto" w:fill="auto"/>
            <w:noWrap/>
            <w:vAlign w:val="bottom"/>
            <w:hideMark/>
          </w:tcPr>
          <w:p w:rsidR="006A7080" w:rsidRPr="008028DC" w:rsidRDefault="006A7080" w:rsidP="00283EC7">
            <w:pPr>
              <w:pStyle w:val="TableText"/>
              <w:rPr>
                <w:rFonts w:eastAsia="Times New Roman"/>
                <w:color w:val="000000"/>
                <w:sz w:val="18"/>
                <w:szCs w:val="18"/>
              </w:rPr>
            </w:pPr>
            <w:r w:rsidRPr="008028DC">
              <w:rPr>
                <w:rFonts w:eastAsia="Times New Roman"/>
                <w:color w:val="000000"/>
                <w:sz w:val="18"/>
                <w:szCs w:val="18"/>
              </w:rPr>
              <w:t>102.0</w:t>
            </w:r>
          </w:p>
        </w:tc>
      </w:tr>
    </w:tbl>
    <w:p w:rsidR="006A7080" w:rsidRDefault="006A7080" w:rsidP="00283EC7">
      <w:pPr>
        <w:pStyle w:val="BodyParaAfterTableFigure"/>
      </w:pPr>
      <w:r w:rsidRPr="00211B4A">
        <w:t xml:space="preserve">Figure </w:t>
      </w:r>
      <w:r>
        <w:t xml:space="preserve">5-1 presents the ex post </w:t>
      </w:r>
      <w:r w:rsidRPr="00211B4A">
        <w:t>load impact</w:t>
      </w:r>
      <w:r>
        <w:t xml:space="preserve"> estimates</w:t>
      </w:r>
      <w:r w:rsidRPr="00211B4A">
        <w:t xml:space="preserve"> for </w:t>
      </w:r>
      <w:r>
        <w:t>the persistent customers alongside those for all ex</w:t>
      </w:r>
      <w:r w:rsidR="00250C89">
        <w:t xml:space="preserve"> </w:t>
      </w:r>
      <w:r>
        <w:t>post customers. The impacts are plotted as a function of temperature and the linear fit is displayed for each customer group</w:t>
      </w:r>
      <w:proofErr w:type="gramStart"/>
      <w:r>
        <w:t xml:space="preserve">. </w:t>
      </w:r>
      <w:r w:rsidR="00250C89">
        <w:t xml:space="preserve"> </w:t>
      </w:r>
      <w:proofErr w:type="gramEnd"/>
      <w:r>
        <w:t>Note that the impacts for persistent customers are generally higher, and also exhibit a stronger relationship with temperature</w:t>
      </w:r>
      <w:proofErr w:type="gramStart"/>
      <w:r>
        <w:t>.</w:t>
      </w:r>
      <w:r w:rsidR="0020552B">
        <w:t xml:space="preserve"> </w:t>
      </w:r>
      <w:r w:rsidR="00250C89">
        <w:t xml:space="preserve"> </w:t>
      </w:r>
      <w:proofErr w:type="gramEnd"/>
      <w:r w:rsidR="0020552B" w:rsidRPr="0020552B">
        <w:t>Due to the relatively high percent impacts of these persistent customers, the estimated percent impacts as</w:t>
      </w:r>
      <w:r w:rsidR="00250C89">
        <w:t> </w:t>
      </w:r>
      <w:r w:rsidR="0020552B" w:rsidRPr="0020552B">
        <w:t>estimated from the model have been de-rated by 10% (i.e., multiplied by 0.9)</w:t>
      </w:r>
      <w:proofErr w:type="gramStart"/>
      <w:r w:rsidR="0020552B" w:rsidRPr="0020552B">
        <w:t>.</w:t>
      </w:r>
      <w:r w:rsidR="0020552B">
        <w:t xml:space="preserve"> </w:t>
      </w:r>
      <w:r w:rsidR="00250C89">
        <w:t xml:space="preserve"> </w:t>
      </w:r>
      <w:proofErr w:type="gramEnd"/>
      <w:r w:rsidR="0020552B">
        <w:t xml:space="preserve">Although it can be argued that persistent customers more closely represent the future program population, this 10% de-rating factor has been applied to adjust for the uncertainty associated with how well these persistent customers represent the future mix </w:t>
      </w:r>
      <w:r w:rsidR="0090208A">
        <w:t xml:space="preserve">of </w:t>
      </w:r>
      <w:r w:rsidR="0020552B">
        <w:t>CPP customers.</w:t>
      </w:r>
    </w:p>
    <w:p w:rsidR="006A7080" w:rsidRPr="00C61A46" w:rsidRDefault="006A7080" w:rsidP="00283EC7">
      <w:pPr>
        <w:pStyle w:val="TableFigureCaption"/>
      </w:pPr>
      <w:r w:rsidRPr="00FF77C1">
        <w:lastRenderedPageBreak/>
        <w:t>Figure 5-</w:t>
      </w:r>
      <w:r>
        <w:t>1: Comparison of 2013–2014 CPP Load Impacts for Persistent</w:t>
      </w:r>
      <w:r w:rsidRPr="00FF77C1">
        <w:t xml:space="preserve"> </w:t>
      </w:r>
      <w:r>
        <w:br/>
        <w:t>and All Ex Post Customers vs. Temperature</w:t>
      </w:r>
    </w:p>
    <w:p w:rsidR="006A7080" w:rsidRDefault="006A7080" w:rsidP="006A7080">
      <w:pPr>
        <w:pStyle w:val="BodyParagraph"/>
        <w:jc w:val="center"/>
      </w:pPr>
      <w:r>
        <w:rPr>
          <w:noProof/>
        </w:rPr>
        <w:drawing>
          <wp:inline distT="0" distB="0" distL="0" distR="0" wp14:anchorId="2DB53921" wp14:editId="1C5D701F">
            <wp:extent cx="5943600" cy="43210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4321020"/>
                    </a:xfrm>
                    <a:prstGeom prst="rect">
                      <a:avLst/>
                    </a:prstGeom>
                    <a:noFill/>
                    <a:ln>
                      <a:noFill/>
                    </a:ln>
                  </pic:spPr>
                </pic:pic>
              </a:graphicData>
            </a:graphic>
          </wp:inline>
        </w:drawing>
      </w:r>
    </w:p>
    <w:p w:rsidR="006A7080" w:rsidRPr="00476F85" w:rsidRDefault="006A7080" w:rsidP="00283EC7">
      <w:pPr>
        <w:pStyle w:val="BodyParaAfterTableFigure"/>
      </w:pPr>
      <w:r>
        <w:t>Figure 5-2 compares loads for all ex post customers during non-event days in 2014 to the</w:t>
      </w:r>
      <w:r w:rsidR="002844CF">
        <w:t> </w:t>
      </w:r>
      <w:r>
        <w:t>reference loads for the large ex ante customers</w:t>
      </w:r>
      <w:proofErr w:type="gramStart"/>
      <w:r>
        <w:t xml:space="preserve">.  </w:t>
      </w:r>
      <w:proofErr w:type="gramEnd"/>
      <w:r>
        <w:t xml:space="preserve">The </w:t>
      </w:r>
      <w:proofErr w:type="spellStart"/>
      <w:r>
        <w:t>ex ante</w:t>
      </w:r>
      <w:proofErr w:type="spellEnd"/>
      <w:r>
        <w:t xml:space="preserve"> customers are the large customers identified using the January 2015 enrollment forecast, which are used for reference load modeling in order to provide the most up to date picture of customers enrolled on CPP. The reference loads from non-event days in May t</w:t>
      </w:r>
      <w:r w:rsidR="00250C89">
        <w:t>hrough</w:t>
      </w:r>
      <w:r>
        <w:t xml:space="preserve"> October are included in the graph (</w:t>
      </w:r>
      <w:r w:rsidR="00250C89">
        <w:t>w</w:t>
      </w:r>
      <w:r>
        <w:t>eekends and holidays are also excluded)</w:t>
      </w:r>
      <w:proofErr w:type="gramStart"/>
      <w:r w:rsidR="008D49AA">
        <w:t>.</w:t>
      </w:r>
      <w:r>
        <w:t xml:space="preserve">  </w:t>
      </w:r>
      <w:proofErr w:type="gramEnd"/>
      <w:r>
        <w:t>The average reference load is roughly 30 kW hig</w:t>
      </w:r>
      <w:r w:rsidR="008D49AA">
        <w:t xml:space="preserve">her for ex </w:t>
      </w:r>
      <w:r>
        <w:t>ante customers than for the ex</w:t>
      </w:r>
      <w:r w:rsidR="002844CF">
        <w:t xml:space="preserve"> </w:t>
      </w:r>
      <w:r>
        <w:t>post customers for the same days and weather conditions</w:t>
      </w:r>
      <w:proofErr w:type="gramStart"/>
      <w:r>
        <w:t xml:space="preserve">.  </w:t>
      </w:r>
      <w:proofErr w:type="gramEnd"/>
      <w:r>
        <w:t>Furtherm</w:t>
      </w:r>
      <w:r w:rsidR="008D49AA">
        <w:t xml:space="preserve">ore, the reference loads for ex </w:t>
      </w:r>
      <w:r>
        <w:t>ante customers show a slightly stronger relationship with temperature than those for all ex</w:t>
      </w:r>
      <w:r w:rsidR="002844CF">
        <w:t xml:space="preserve"> </w:t>
      </w:r>
      <w:r>
        <w:t>post customers.</w:t>
      </w:r>
    </w:p>
    <w:p w:rsidR="006A7080" w:rsidRDefault="006A7080" w:rsidP="00283EC7">
      <w:pPr>
        <w:pStyle w:val="TableFigureCaption"/>
      </w:pPr>
      <w:r w:rsidRPr="00FF77C1">
        <w:lastRenderedPageBreak/>
        <w:t>Figure 5-</w:t>
      </w:r>
      <w:r>
        <w:t xml:space="preserve">2: Comparison of Reference Loads on Non-event Days for Ex Ante Customers to All </w:t>
      </w:r>
      <w:proofErr w:type="gramStart"/>
      <w:r>
        <w:t>Ex</w:t>
      </w:r>
      <w:proofErr w:type="gramEnd"/>
      <w:r>
        <w:t xml:space="preserve"> Post Customers’ Reference Loads</w:t>
      </w:r>
    </w:p>
    <w:p w:rsidR="006A7080" w:rsidRDefault="004616D4" w:rsidP="006A7080">
      <w:pPr>
        <w:pStyle w:val="BodyParagraph"/>
        <w:jc w:val="center"/>
      </w:pPr>
      <w:r>
        <w:rPr>
          <w:noProof/>
        </w:rPr>
        <w:drawing>
          <wp:inline distT="0" distB="0" distL="0" distR="0" wp14:anchorId="47A31387" wp14:editId="5630F9B5">
            <wp:extent cx="5943600" cy="4320540"/>
            <wp:effectExtent l="0" t="0" r="0" b="0"/>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6A7080" w:rsidRDefault="006A7080" w:rsidP="00283EC7">
      <w:pPr>
        <w:pStyle w:val="BodyParaAfterTableFigure"/>
      </w:pPr>
      <w:r>
        <w:t>Figure 5-3 illustrates the historical 2013 to 2014 percent reductions</w:t>
      </w:r>
      <w:r w:rsidR="004326B4">
        <w:t xml:space="preserve"> (blue squares)</w:t>
      </w:r>
      <w:r>
        <w:t xml:space="preserve"> as a function of temperature for each LCA</w:t>
      </w:r>
      <w:proofErr w:type="gramStart"/>
      <w:r>
        <w:t xml:space="preserve">.  </w:t>
      </w:r>
      <w:proofErr w:type="gramEnd"/>
      <w:r>
        <w:t>It also includes the percent demand reductions estimated under 1</w:t>
      </w:r>
      <w:r w:rsidR="002844CF">
        <w:noBreakHyphen/>
      </w:r>
      <w:r>
        <w:t>in-2 and 1</w:t>
      </w:r>
      <w:r>
        <w:noBreakHyphen/>
        <w:t>in</w:t>
      </w:r>
      <w:r>
        <w:noBreakHyphen/>
        <w:t>10 year weather conditions (green squares) for the months of May to October based on the PG&amp;E weather scenarios (not the CAISO weather)</w:t>
      </w:r>
      <w:proofErr w:type="gramStart"/>
      <w:r>
        <w:t xml:space="preserve">.  </w:t>
      </w:r>
      <w:proofErr w:type="gramEnd"/>
      <w:r w:rsidR="0079552D">
        <w:t xml:space="preserve">As discussed, the </w:t>
      </w:r>
      <w:proofErr w:type="spellStart"/>
      <w:r w:rsidR="0079552D">
        <w:t>ex ante</w:t>
      </w:r>
      <w:proofErr w:type="spellEnd"/>
      <w:r w:rsidR="0079552D">
        <w:t xml:space="preserve"> percent impact estimates are based on the relationship between temperature and percent impacts as estimated in the ex post analysis</w:t>
      </w:r>
      <w:proofErr w:type="gramStart"/>
      <w:r w:rsidR="0079552D">
        <w:t xml:space="preserve">.  </w:t>
      </w:r>
      <w:proofErr w:type="gramEnd"/>
      <w:r w:rsidR="0079552D">
        <w:t xml:space="preserve">However, due to the relatively narrow range of temperatures observed in historical CPP events relative to the temperatures in the </w:t>
      </w:r>
      <w:proofErr w:type="spellStart"/>
      <w:r w:rsidR="0079552D">
        <w:t>ex ante</w:t>
      </w:r>
      <w:proofErr w:type="spellEnd"/>
      <w:r w:rsidR="0079552D">
        <w:t xml:space="preserve"> weather conditions, the percent impact model is bounded at </w:t>
      </w:r>
      <w:r w:rsidR="0079552D" w:rsidRPr="008028DC">
        <w:rPr>
          <w:i/>
        </w:rPr>
        <w:t>mean17</w:t>
      </w:r>
      <w:r w:rsidR="0079552D">
        <w:t xml:space="preserve"> values that are</w:t>
      </w:r>
      <w:r w:rsidR="0079552D" w:rsidRPr="0079552D">
        <w:t xml:space="preserve"> one degree below the minimum and one degree above the maximum observed </w:t>
      </w:r>
      <w:r w:rsidR="0079552D" w:rsidRPr="008028DC">
        <w:rPr>
          <w:i/>
        </w:rPr>
        <w:t>mean17</w:t>
      </w:r>
      <w:r w:rsidR="0079552D" w:rsidRPr="0079552D">
        <w:t xml:space="preserve"> values</w:t>
      </w:r>
      <w:r w:rsidR="00143B4D">
        <w:t xml:space="preserve"> in</w:t>
      </w:r>
      <w:r w:rsidR="0079552D" w:rsidRPr="0079552D">
        <w:t xml:space="preserve"> 2013 and 2014 </w:t>
      </w:r>
      <w:r w:rsidR="0079552D">
        <w:t xml:space="preserve">CPP </w:t>
      </w:r>
      <w:r w:rsidR="0079552D" w:rsidRPr="0079552D">
        <w:t>events</w:t>
      </w:r>
      <w:r w:rsidR="00143B4D" w:rsidRPr="0079552D">
        <w:t xml:space="preserve"> for </w:t>
      </w:r>
      <w:r w:rsidR="00143B4D">
        <w:t>each</w:t>
      </w:r>
      <w:r w:rsidR="00143B4D" w:rsidRPr="0079552D">
        <w:t xml:space="preserve"> L</w:t>
      </w:r>
      <w:r w:rsidR="00143B4D">
        <w:t>CA</w:t>
      </w:r>
      <w:proofErr w:type="gramStart"/>
      <w:r w:rsidR="0079552D">
        <w:t xml:space="preserve">.  </w:t>
      </w:r>
      <w:proofErr w:type="gramEnd"/>
      <w:r w:rsidR="00091C0F">
        <w:t xml:space="preserve">These bounds </w:t>
      </w:r>
      <w:r w:rsidR="0079552D">
        <w:t xml:space="preserve">ensure that the percent impact model does not produce </w:t>
      </w:r>
      <w:r w:rsidR="00091C0F">
        <w:t xml:space="preserve">unreasonable </w:t>
      </w:r>
      <w:r w:rsidR="0079552D">
        <w:t xml:space="preserve">estimates </w:t>
      </w:r>
      <w:r w:rsidR="00091C0F">
        <w:t>for</w:t>
      </w:r>
      <w:r w:rsidR="0079552D">
        <w:t xml:space="preserve"> weather conditions that are far beyond </w:t>
      </w:r>
      <w:r w:rsidR="00143B4D">
        <w:t>what has been observed in</w:t>
      </w:r>
      <w:r w:rsidR="0079552D">
        <w:t xml:space="preserve"> past</w:t>
      </w:r>
      <w:r w:rsidR="00143B4D">
        <w:t xml:space="preserve"> events</w:t>
      </w:r>
      <w:proofErr w:type="gramStart"/>
      <w:r w:rsidR="0079552D">
        <w:t xml:space="preserve">.  </w:t>
      </w:r>
      <w:proofErr w:type="gramEnd"/>
      <w:r w:rsidR="00091C0F">
        <w:t>In turn, t</w:t>
      </w:r>
      <w:r>
        <w:t xml:space="preserve">hese percent demand reduction estimates </w:t>
      </w:r>
      <w:r w:rsidR="00143B4D">
        <w:t xml:space="preserve">are </w:t>
      </w:r>
      <w:r>
        <w:t>applied to large</w:t>
      </w:r>
      <w:r w:rsidR="00250C89">
        <w:t> </w:t>
      </w:r>
      <w:r>
        <w:t>customers</w:t>
      </w:r>
      <w:proofErr w:type="gramStart"/>
      <w:r>
        <w:t xml:space="preserve">.  </w:t>
      </w:r>
      <w:proofErr w:type="gramEnd"/>
      <w:r w:rsidR="006770E4">
        <w:t>For t</w:t>
      </w:r>
      <w:r>
        <w:t>he two LCAs that historically delivered the majority of program impacts</w:t>
      </w:r>
      <w:r w:rsidR="00250C89">
        <w:rPr>
          <w:rFonts w:cs="Arial"/>
        </w:rPr>
        <w:t>—</w:t>
      </w:r>
      <w:r>
        <w:t>the Greater Bay Area and Other</w:t>
      </w:r>
      <w:r w:rsidR="00250C89">
        <w:rPr>
          <w:rFonts w:cs="Arial"/>
        </w:rPr>
        <w:t>—</w:t>
      </w:r>
      <w:r w:rsidR="006770E4">
        <w:t>the relationship between temperature and</w:t>
      </w:r>
      <w:r>
        <w:t xml:space="preserve"> percentage load reductions</w:t>
      </w:r>
      <w:r w:rsidR="006770E4">
        <w:t xml:space="preserve"> is basically flat</w:t>
      </w:r>
      <w:r>
        <w:t>.</w:t>
      </w:r>
    </w:p>
    <w:p w:rsidR="006A7080" w:rsidRDefault="006A7080" w:rsidP="006A7080">
      <w:pPr>
        <w:pStyle w:val="BodyParagraph"/>
      </w:pPr>
      <w:r>
        <w:t xml:space="preserve">Figure 5-4 compares the customer </w:t>
      </w:r>
      <w:r w:rsidR="0090208A">
        <w:t xml:space="preserve">reference </w:t>
      </w:r>
      <w:r>
        <w:t xml:space="preserve">loads during non-event days to the </w:t>
      </w:r>
      <w:proofErr w:type="spellStart"/>
      <w:r>
        <w:t>ex ante</w:t>
      </w:r>
      <w:proofErr w:type="spellEnd"/>
      <w:r>
        <w:t xml:space="preserve"> reference loads</w:t>
      </w:r>
      <w:proofErr w:type="gramStart"/>
      <w:r>
        <w:t xml:space="preserve">.  </w:t>
      </w:r>
      <w:proofErr w:type="gramEnd"/>
      <w:r>
        <w:t>The 1</w:t>
      </w:r>
      <w:r>
        <w:noBreakHyphen/>
        <w:t>in</w:t>
      </w:r>
      <w:r>
        <w:noBreakHyphen/>
        <w:t xml:space="preserve">2 and 1-in-10 reference loads from May </w:t>
      </w:r>
      <w:r w:rsidR="00250C89">
        <w:t xml:space="preserve">through </w:t>
      </w:r>
      <w:r>
        <w:t xml:space="preserve">October are included </w:t>
      </w:r>
      <w:r>
        <w:lastRenderedPageBreak/>
        <w:t>in the graph</w:t>
      </w:r>
      <w:proofErr w:type="gramStart"/>
      <w:r>
        <w:t xml:space="preserve">.  </w:t>
      </w:r>
      <w:proofErr w:type="gramEnd"/>
      <w:r>
        <w:t xml:space="preserve">The </w:t>
      </w:r>
      <w:proofErr w:type="spellStart"/>
      <w:r>
        <w:t>ex ante</w:t>
      </w:r>
      <w:proofErr w:type="spellEnd"/>
      <w:r>
        <w:t xml:space="preserve"> reference loads follow the weather trend observed within each LCA during non-event days. </w:t>
      </w:r>
    </w:p>
    <w:p w:rsidR="006A7080" w:rsidRPr="004326B4" w:rsidRDefault="006A7080" w:rsidP="006A7080">
      <w:pPr>
        <w:pStyle w:val="BodyParagraph"/>
        <w:sectPr w:rsidR="006A7080" w:rsidRPr="004326B4" w:rsidSect="003B398F">
          <w:headerReference w:type="default" r:id="rId56"/>
          <w:footerReference w:type="default" r:id="rId57"/>
          <w:pgSz w:w="12240" w:h="15840"/>
          <w:pgMar w:top="1440" w:right="1440" w:bottom="1440" w:left="1440" w:header="720" w:footer="720" w:gutter="0"/>
          <w:cols w:space="720"/>
          <w:docGrid w:linePitch="360"/>
        </w:sectPr>
      </w:pPr>
      <w:r>
        <w:t>In assessing the effect on aggregate demand reductions, it is important to factor in both how loads and percent demand reductions vary with weather</w:t>
      </w:r>
      <w:proofErr w:type="gramStart"/>
      <w:r>
        <w:t xml:space="preserve">.  </w:t>
      </w:r>
      <w:proofErr w:type="gramEnd"/>
      <w:r>
        <w:t xml:space="preserve">For example, </w:t>
      </w:r>
      <w:r w:rsidR="00D01C1A">
        <w:t>i</w:t>
      </w:r>
      <w:r>
        <w:t>n the Northern Coast</w:t>
      </w:r>
      <w:r w:rsidR="00D01C1A">
        <w:t xml:space="preserve"> LCA</w:t>
      </w:r>
      <w:r>
        <w:t>, loads tend to increase significantly with hotter weather</w:t>
      </w:r>
      <w:proofErr w:type="gramStart"/>
      <w:r>
        <w:t xml:space="preserve">. </w:t>
      </w:r>
      <w:r w:rsidR="00250C89">
        <w:t xml:space="preserve"> </w:t>
      </w:r>
      <w:proofErr w:type="gramEnd"/>
      <w:r>
        <w:t>However, the percent demand reductions tend to decrease with hotter weather and have more influence on the aggregate load</w:t>
      </w:r>
      <w:r w:rsidR="002844CF">
        <w:t> </w:t>
      </w:r>
      <w:r w:rsidR="004326B4">
        <w:t>reductions.</w:t>
      </w:r>
    </w:p>
    <w:p w:rsidR="006A7080" w:rsidRDefault="006A7080" w:rsidP="00283EC7">
      <w:pPr>
        <w:pStyle w:val="TableFigureCaption"/>
      </w:pPr>
      <w:r w:rsidRPr="00FF77C1">
        <w:lastRenderedPageBreak/>
        <w:t>Figure 5-</w:t>
      </w:r>
      <w:r>
        <w:t xml:space="preserve">3: Comparison of 2013–2014 CPP Load Impacts </w:t>
      </w:r>
      <w:r w:rsidR="0090208A">
        <w:t xml:space="preserve">and </w:t>
      </w:r>
      <w:r w:rsidR="006D677D">
        <w:t xml:space="preserve">Summer Ex </w:t>
      </w:r>
      <w:r w:rsidRPr="00FF77C1">
        <w:t>Ante Load Impacts vs. Temperature by LCA</w:t>
      </w:r>
    </w:p>
    <w:p w:rsidR="006A7080" w:rsidRDefault="006A7080" w:rsidP="006A7080">
      <w:pPr>
        <w:pStyle w:val="BodyParagraph"/>
        <w:jc w:val="center"/>
        <w:rPr>
          <w:noProof/>
        </w:rPr>
      </w:pPr>
      <w:r>
        <w:rPr>
          <w:noProof/>
        </w:rPr>
        <w:drawing>
          <wp:inline distT="0" distB="0" distL="0" distR="0" wp14:anchorId="2FE88286" wp14:editId="05E42C7E">
            <wp:extent cx="7449409" cy="5415148"/>
            <wp:effectExtent l="0" t="0" r="0" b="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454826" cy="5419086"/>
                    </a:xfrm>
                    <a:prstGeom prst="rect">
                      <a:avLst/>
                    </a:prstGeom>
                    <a:noFill/>
                    <a:extLst/>
                  </pic:spPr>
                </pic:pic>
              </a:graphicData>
            </a:graphic>
          </wp:inline>
        </w:drawing>
      </w:r>
    </w:p>
    <w:p w:rsidR="006A7080" w:rsidRDefault="006A7080" w:rsidP="00283EC7">
      <w:pPr>
        <w:pStyle w:val="TableFigureCaption"/>
      </w:pPr>
      <w:r w:rsidRPr="00FF77C1">
        <w:lastRenderedPageBreak/>
        <w:t>Figure 5-</w:t>
      </w:r>
      <w:r>
        <w:t>4</w:t>
      </w:r>
      <w:r w:rsidRPr="00FF77C1">
        <w:t xml:space="preserve">: Comparison of </w:t>
      </w:r>
      <w:r>
        <w:t>Ex</w:t>
      </w:r>
      <w:r w:rsidR="002844CF">
        <w:t xml:space="preserve"> </w:t>
      </w:r>
      <w:r>
        <w:t xml:space="preserve">Post </w:t>
      </w:r>
      <w:r w:rsidR="0090208A">
        <w:t xml:space="preserve">Reference </w:t>
      </w:r>
      <w:r>
        <w:t xml:space="preserve">Loads on Non-event Days to Ex-Ante Reference Loads for Large </w:t>
      </w:r>
      <w:proofErr w:type="gramStart"/>
      <w:r>
        <w:t>C&amp;I</w:t>
      </w:r>
      <w:proofErr w:type="gramEnd"/>
    </w:p>
    <w:p w:rsidR="006A7080" w:rsidRDefault="006A7080" w:rsidP="006A7080">
      <w:pPr>
        <w:pStyle w:val="BodyParagraph"/>
        <w:jc w:val="center"/>
        <w:rPr>
          <w:noProof/>
        </w:rPr>
      </w:pPr>
      <w:r>
        <w:rPr>
          <w:noProof/>
        </w:rPr>
        <w:drawing>
          <wp:inline distT="0" distB="0" distL="0" distR="0" wp14:anchorId="1D8BA123" wp14:editId="10B17A82">
            <wp:extent cx="7433074" cy="5403273"/>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7429499" cy="5400674"/>
                    </a:xfrm>
                    <a:prstGeom prst="rect">
                      <a:avLst/>
                    </a:prstGeom>
                    <a:noFill/>
                    <a:extLst/>
                  </pic:spPr>
                </pic:pic>
              </a:graphicData>
            </a:graphic>
          </wp:inline>
        </w:drawing>
      </w:r>
    </w:p>
    <w:p w:rsidR="006A7080" w:rsidRDefault="006A7080" w:rsidP="006A7080">
      <w:pPr>
        <w:pStyle w:val="BodyParaAfterTableFigure"/>
        <w:sectPr w:rsidR="006A7080" w:rsidSect="003B398F">
          <w:footerReference w:type="default" r:id="rId60"/>
          <w:pgSz w:w="15840" w:h="12240" w:orient="landscape"/>
          <w:pgMar w:top="1440" w:right="1440" w:bottom="1440" w:left="1440" w:header="720" w:footer="720" w:gutter="0"/>
          <w:cols w:space="720"/>
          <w:docGrid w:linePitch="360"/>
        </w:sectPr>
      </w:pPr>
    </w:p>
    <w:p w:rsidR="006A7080" w:rsidRPr="004326B4" w:rsidRDefault="006A7080" w:rsidP="006A7080">
      <w:pPr>
        <w:pStyle w:val="BodyParagraph"/>
        <w:rPr>
          <w:color w:val="auto"/>
        </w:rPr>
      </w:pPr>
      <w:bookmarkStart w:id="131" w:name="_Toc289178037"/>
      <w:r>
        <w:lastRenderedPageBreak/>
        <w:t>Table 5-2 shows PG&amp;E’s enrollment projections for large C&amp;I CPP customers through 2025</w:t>
      </w:r>
      <w:proofErr w:type="gramStart"/>
      <w:r>
        <w:t xml:space="preserve">.  </w:t>
      </w:r>
      <w:proofErr w:type="gramEnd"/>
      <w:r>
        <w:t>PG&amp;E developed the enrollment forecast and underlying assumptions, which are documented in</w:t>
      </w:r>
      <w:r w:rsidR="00250C89">
        <w:t> </w:t>
      </w:r>
      <w:r>
        <w:t xml:space="preserve">PG&amp;E’s </w:t>
      </w:r>
      <w:r>
        <w:rPr>
          <w:i/>
        </w:rPr>
        <w:t>Executive Summary: 2015–2025</w:t>
      </w:r>
      <w:r w:rsidRPr="0041579B">
        <w:rPr>
          <w:i/>
        </w:rPr>
        <w:t xml:space="preserve"> Demand Response Portfolio of Pacific Gas and </w:t>
      </w:r>
      <w:r w:rsidRPr="004326B4">
        <w:rPr>
          <w:i/>
          <w:color w:val="auto"/>
        </w:rPr>
        <w:t>Electric Company</w:t>
      </w:r>
      <w:proofErr w:type="gramStart"/>
      <w:r w:rsidRPr="004326B4">
        <w:rPr>
          <w:color w:val="auto"/>
        </w:rPr>
        <w:t xml:space="preserve">.  </w:t>
      </w:r>
      <w:proofErr w:type="gramEnd"/>
      <w:r w:rsidR="004326B4">
        <w:rPr>
          <w:color w:val="auto"/>
        </w:rPr>
        <w:t xml:space="preserve">Due to additional large customers that are scheduled to be defaulted onto CPP, </w:t>
      </w:r>
      <w:r w:rsidRPr="004326B4">
        <w:rPr>
          <w:color w:val="auto"/>
        </w:rPr>
        <w:t>PG&amp;E projects that large C&amp;I CPP enrollment will grow to approximately 2,600 by Nov</w:t>
      </w:r>
      <w:r w:rsidR="004326B4">
        <w:rPr>
          <w:color w:val="auto"/>
        </w:rPr>
        <w:t>ember</w:t>
      </w:r>
      <w:r w:rsidRPr="004326B4">
        <w:rPr>
          <w:color w:val="auto"/>
        </w:rPr>
        <w:t xml:space="preserve"> 2016 and will</w:t>
      </w:r>
      <w:r w:rsidR="00D01C1A">
        <w:rPr>
          <w:color w:val="auto"/>
        </w:rPr>
        <w:t xml:space="preserve"> then</w:t>
      </w:r>
      <w:r w:rsidRPr="004326B4">
        <w:rPr>
          <w:color w:val="auto"/>
        </w:rPr>
        <w:t xml:space="preserve"> remain essentially flat through 2025</w:t>
      </w:r>
      <w:r w:rsidR="004326B4" w:rsidRPr="004326B4">
        <w:rPr>
          <w:color w:val="auto"/>
        </w:rPr>
        <w:t>.</w:t>
      </w:r>
    </w:p>
    <w:p w:rsidR="006A7080" w:rsidRDefault="006A7080" w:rsidP="006A7080">
      <w:pPr>
        <w:pStyle w:val="TableFigureCaption"/>
      </w:pPr>
      <w:r>
        <w:t>Table 5-2</w:t>
      </w:r>
      <w:r w:rsidRPr="002E04A0">
        <w:t xml:space="preserve">: PG&amp;E Enrollment Projections for Large </w:t>
      </w:r>
      <w:proofErr w:type="gramStart"/>
      <w:r w:rsidRPr="002E04A0">
        <w:t>C&amp;I CPP Customers</w:t>
      </w:r>
      <w:r w:rsidRPr="002E04A0">
        <w:br/>
        <w:t>by</w:t>
      </w:r>
      <w:proofErr w:type="gramEnd"/>
      <w:r w:rsidRPr="002E04A0">
        <w:t xml:space="preserve"> Forecast Year and Month</w:t>
      </w:r>
    </w:p>
    <w:tbl>
      <w:tblPr>
        <w:tblW w:w="10057" w:type="dxa"/>
        <w:jc w:val="center"/>
        <w:tblInd w:w="93" w:type="dxa"/>
        <w:tblLayout w:type="fixed"/>
        <w:tblLook w:val="04A0" w:firstRow="1" w:lastRow="0" w:firstColumn="1" w:lastColumn="0" w:noHBand="0" w:noVBand="1"/>
      </w:tblPr>
      <w:tblGrid>
        <w:gridCol w:w="773"/>
        <w:gridCol w:w="774"/>
        <w:gridCol w:w="773"/>
        <w:gridCol w:w="774"/>
        <w:gridCol w:w="774"/>
        <w:gridCol w:w="773"/>
        <w:gridCol w:w="774"/>
        <w:gridCol w:w="773"/>
        <w:gridCol w:w="774"/>
        <w:gridCol w:w="774"/>
        <w:gridCol w:w="773"/>
        <w:gridCol w:w="774"/>
        <w:gridCol w:w="774"/>
      </w:tblGrid>
      <w:tr w:rsidR="006A7080" w:rsidRPr="00523018" w:rsidTr="004326B4">
        <w:trPr>
          <w:trHeight w:val="300"/>
          <w:jc w:val="center"/>
        </w:trPr>
        <w:tc>
          <w:tcPr>
            <w:tcW w:w="773" w:type="dxa"/>
            <w:tcBorders>
              <w:top w:val="single" w:sz="4" w:space="0" w:color="000000"/>
              <w:left w:val="single" w:sz="4" w:space="0" w:color="000000"/>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bookmarkStart w:id="132" w:name="_Toc289178030"/>
            <w:bookmarkStart w:id="133" w:name="_Toc326072130"/>
            <w:bookmarkStart w:id="134" w:name="_Toc350845366"/>
            <w:bookmarkStart w:id="135" w:name="_Toc352323654"/>
            <w:r w:rsidRPr="004326B4">
              <w:rPr>
                <w:rFonts w:eastAsia="Times New Roman"/>
                <w:szCs w:val="20"/>
              </w:rPr>
              <w:t>Year</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Jan.</w:t>
            </w:r>
          </w:p>
        </w:tc>
        <w:tc>
          <w:tcPr>
            <w:tcW w:w="773"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Feb.</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Mar.</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Apr.</w:t>
            </w:r>
          </w:p>
        </w:tc>
        <w:tc>
          <w:tcPr>
            <w:tcW w:w="773"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May</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Jun.</w:t>
            </w:r>
          </w:p>
        </w:tc>
        <w:tc>
          <w:tcPr>
            <w:tcW w:w="773"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Jul.</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Aug.</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Sep.</w:t>
            </w:r>
          </w:p>
        </w:tc>
        <w:tc>
          <w:tcPr>
            <w:tcW w:w="773"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Oct.</w:t>
            </w:r>
          </w:p>
        </w:tc>
        <w:tc>
          <w:tcPr>
            <w:tcW w:w="774"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Nov.</w:t>
            </w:r>
          </w:p>
        </w:tc>
        <w:tc>
          <w:tcPr>
            <w:tcW w:w="774" w:type="dxa"/>
            <w:tcBorders>
              <w:top w:val="single" w:sz="4" w:space="0" w:color="000000"/>
              <w:left w:val="nil"/>
              <w:bottom w:val="single" w:sz="4" w:space="0" w:color="000000"/>
              <w:right w:val="single" w:sz="4" w:space="0" w:color="000000"/>
            </w:tcBorders>
            <w:shd w:val="clear" w:color="auto" w:fill="0070CD"/>
            <w:noWrap/>
            <w:vAlign w:val="center"/>
            <w:hideMark/>
          </w:tcPr>
          <w:p w:rsidR="006A7080" w:rsidRPr="004326B4" w:rsidRDefault="006A7080" w:rsidP="007F6BEB">
            <w:pPr>
              <w:pStyle w:val="TableHeader"/>
              <w:rPr>
                <w:rFonts w:eastAsia="Times New Roman"/>
                <w:szCs w:val="20"/>
              </w:rPr>
            </w:pPr>
            <w:r w:rsidRPr="004326B4">
              <w:rPr>
                <w:rFonts w:eastAsia="Times New Roman"/>
                <w:szCs w:val="20"/>
              </w:rPr>
              <w:t>Dec.</w:t>
            </w:r>
          </w:p>
        </w:tc>
      </w:tr>
      <w:tr w:rsidR="006A7080" w:rsidRPr="00523018" w:rsidTr="004326B4">
        <w:trPr>
          <w:trHeight w:val="300"/>
          <w:jc w:val="center"/>
        </w:trPr>
        <w:tc>
          <w:tcPr>
            <w:tcW w:w="773"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2015</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1,923</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1,923</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2,092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2,380</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2,380</w:t>
            </w:r>
          </w:p>
        </w:tc>
      </w:tr>
      <w:tr w:rsidR="006A7080" w:rsidRPr="00523018" w:rsidTr="004326B4">
        <w:trPr>
          <w:trHeight w:val="300"/>
          <w:jc w:val="center"/>
        </w:trPr>
        <w:tc>
          <w:tcPr>
            <w:tcW w:w="773"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2016</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2,380</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2,380</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2,594</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2,622</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2,622</w:t>
            </w:r>
          </w:p>
        </w:tc>
      </w:tr>
      <w:tr w:rsidR="006A7080" w:rsidRPr="00523018" w:rsidTr="004326B4">
        <w:trPr>
          <w:trHeight w:val="300"/>
          <w:jc w:val="center"/>
        </w:trPr>
        <w:tc>
          <w:tcPr>
            <w:tcW w:w="773"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2025</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2,628</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2,628</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3"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c>
          <w:tcPr>
            <w:tcW w:w="774" w:type="dxa"/>
            <w:tcBorders>
              <w:top w:val="nil"/>
              <w:left w:val="nil"/>
              <w:bottom w:val="single" w:sz="4" w:space="0" w:color="000000"/>
              <w:right w:val="single" w:sz="4" w:space="0" w:color="000000"/>
            </w:tcBorders>
            <w:shd w:val="clear" w:color="auto" w:fill="auto"/>
            <w:noWrap/>
            <w:vAlign w:val="center"/>
            <w:hideMark/>
          </w:tcPr>
          <w:p w:rsidR="006A7080" w:rsidRPr="004326B4" w:rsidRDefault="006A7080" w:rsidP="00283EC7">
            <w:pPr>
              <w:pStyle w:val="TableText"/>
              <w:rPr>
                <w:rFonts w:eastAsia="Times New Roman"/>
                <w:szCs w:val="20"/>
              </w:rPr>
            </w:pPr>
            <w:r w:rsidRPr="004326B4">
              <w:rPr>
                <w:rFonts w:eastAsia="Times New Roman"/>
                <w:szCs w:val="20"/>
              </w:rPr>
              <w:t>2,629</w:t>
            </w:r>
          </w:p>
        </w:tc>
      </w:tr>
    </w:tbl>
    <w:p w:rsidR="006A7080" w:rsidRDefault="006A7080" w:rsidP="004C53F1">
      <w:pPr>
        <w:pStyle w:val="Heading3"/>
        <w:spacing w:before="360"/>
        <w:rPr>
          <w:rFonts w:cs="Calibri"/>
        </w:rPr>
      </w:pPr>
      <w:bookmarkStart w:id="136" w:name="_Toc412650599"/>
      <w:bookmarkStart w:id="137" w:name="_Toc415494771"/>
      <w:r>
        <w:t xml:space="preserve">Annual </w:t>
      </w:r>
      <w:r w:rsidRPr="00692B07">
        <w:t>System</w:t>
      </w:r>
      <w:r>
        <w:t xml:space="preserve"> Peak Day Impacts</w:t>
      </w:r>
      <w:bookmarkEnd w:id="132"/>
      <w:bookmarkEnd w:id="133"/>
      <w:bookmarkEnd w:id="134"/>
      <w:bookmarkEnd w:id="135"/>
      <w:bookmarkEnd w:id="136"/>
      <w:bookmarkEnd w:id="137"/>
    </w:p>
    <w:p w:rsidR="006A7080" w:rsidRPr="002753D2" w:rsidRDefault="006A7080" w:rsidP="006A7080">
      <w:pPr>
        <w:pStyle w:val="BodyParagraph"/>
      </w:pPr>
      <w:r>
        <w:t>Table 5-3</w:t>
      </w:r>
      <w:r w:rsidRPr="002753D2">
        <w:t xml:space="preserve"> summarizes the aggregate load impact estimates for large C&amp;I customers on PG&amp;E’s CPP tariff</w:t>
      </w:r>
      <w:r>
        <w:t> </w:t>
      </w:r>
      <w:r w:rsidRPr="002753D2">
        <w:t xml:space="preserve">for each forecast year under both 1-in-2 and 1-in-10 </w:t>
      </w:r>
      <w:r>
        <w:t xml:space="preserve">year </w:t>
      </w:r>
      <w:r w:rsidRPr="002753D2">
        <w:t>weather scenarios</w:t>
      </w:r>
      <w:r w:rsidR="004326B4">
        <w:t>,</w:t>
      </w:r>
      <w:r>
        <w:t xml:space="preserve"> based on both PG&amp;E and CAISO weather scenarios</w:t>
      </w:r>
      <w:proofErr w:type="gramStart"/>
      <w:r w:rsidRPr="002753D2">
        <w:t xml:space="preserve">.  </w:t>
      </w:r>
      <w:proofErr w:type="gramEnd"/>
      <w:r w:rsidRPr="002753D2">
        <w:t>The table shows the</w:t>
      </w:r>
      <w:r>
        <w:t> </w:t>
      </w:r>
      <w:r w:rsidRPr="002753D2">
        <w:t>average load reduction across the 1 to 6 PM event period for an August monthly system peak day</w:t>
      </w:r>
      <w:proofErr w:type="gramStart"/>
      <w:r w:rsidRPr="002753D2">
        <w:t xml:space="preserve">.  </w:t>
      </w:r>
      <w:proofErr w:type="gramEnd"/>
      <w:r>
        <w:t xml:space="preserve">Looking first at the aggregate load impacts based on normal, PG&amp;E-specific weather, load reductions </w:t>
      </w:r>
      <w:r w:rsidR="004326B4">
        <w:t xml:space="preserve">based on 1-in-2 year PG&amp;E weather conditions </w:t>
      </w:r>
      <w:r w:rsidR="003E52FB">
        <w:t>grow from roughly 51 MW to almost 65</w:t>
      </w:r>
      <w:r>
        <w:t xml:space="preserve"> MW between 2015 and 2025</w:t>
      </w:r>
      <w:proofErr w:type="gramStart"/>
      <w:r>
        <w:t xml:space="preserve">.  </w:t>
      </w:r>
      <w:proofErr w:type="gramEnd"/>
      <w:r>
        <w:t>Impacts based on 1-in-10 year PG&amp;E wea</w:t>
      </w:r>
      <w:r w:rsidR="003E52FB">
        <w:t>ther conditions equal roughly 56 MW in 2015 and grow to 72</w:t>
      </w:r>
      <w:r>
        <w:t xml:space="preserve"> MW by 2025</w:t>
      </w:r>
      <w:proofErr w:type="gramStart"/>
      <w:r>
        <w:t xml:space="preserve">.  </w:t>
      </w:r>
      <w:proofErr w:type="gramEnd"/>
      <w:r>
        <w:t xml:space="preserve">These estimates </w:t>
      </w:r>
      <w:r w:rsidR="003E52FB">
        <w:t>equal roughly 8</w:t>
      </w:r>
      <w:r>
        <w:t>% of the aggregate reference load for large C&amp;I customers</w:t>
      </w:r>
      <w:proofErr w:type="gramStart"/>
      <w:r>
        <w:t xml:space="preserve">.  </w:t>
      </w:r>
      <w:proofErr w:type="gramEnd"/>
      <w:r>
        <w:t>Impact estimates based on CAISO weather 1-in-</w:t>
      </w:r>
      <w:r w:rsidR="003E52FB">
        <w:t>2 year conditions are roughly 14</w:t>
      </w:r>
      <w:r>
        <w:t>% less than the estimates based on PG&amp;E weather</w:t>
      </w:r>
      <w:proofErr w:type="gramStart"/>
      <w:r>
        <w:t xml:space="preserve">.  </w:t>
      </w:r>
      <w:proofErr w:type="gramEnd"/>
      <w:r>
        <w:t>The CAISO 1-in-10 year weather values produce a load r</w:t>
      </w:r>
      <w:r w:rsidR="003E52FB">
        <w:t>eduction that is about 5</w:t>
      </w:r>
      <w:r>
        <w:t>% less than the 1-in-10 year PG&amp;E</w:t>
      </w:r>
      <w:r w:rsidR="002844CF">
        <w:t> </w:t>
      </w:r>
      <w:r w:rsidR="00132BF4">
        <w:t>estimates.</w:t>
      </w:r>
    </w:p>
    <w:p w:rsidR="006A7080" w:rsidRDefault="006A7080" w:rsidP="006A7080">
      <w:pPr>
        <w:rPr>
          <w:rFonts w:ascii="Calibri" w:hAnsi="Calibri"/>
          <w:b/>
        </w:rPr>
      </w:pPr>
      <w:r>
        <w:br w:type="page"/>
      </w:r>
    </w:p>
    <w:p w:rsidR="006A7080" w:rsidRDefault="006A7080" w:rsidP="006A7080">
      <w:pPr>
        <w:pStyle w:val="TableFigureCaption"/>
      </w:pPr>
      <w:r>
        <w:lastRenderedPageBreak/>
        <w:t>Table 5-3</w:t>
      </w:r>
      <w:r w:rsidRPr="002753D2">
        <w:t xml:space="preserve">: Aggregate Default CPP </w:t>
      </w:r>
      <w:proofErr w:type="gramStart"/>
      <w:r w:rsidRPr="002753D2">
        <w:t>Ex</w:t>
      </w:r>
      <w:proofErr w:type="gramEnd"/>
      <w:r w:rsidRPr="002753D2">
        <w:t xml:space="preserve"> Ante Load Impact Estimates by Weather Scenario for Large C</w:t>
      </w:r>
      <w:r w:rsidRPr="00DA0B27">
        <w:t>&amp;I</w:t>
      </w:r>
      <w:r w:rsidR="004326B4">
        <w:t xml:space="preserve">, </w:t>
      </w:r>
      <w:r w:rsidR="00D015F2">
        <w:t>PG&amp;E August System Peak Day (</w:t>
      </w:r>
      <w:r w:rsidRPr="00DA0B27">
        <w:t>1</w:t>
      </w:r>
      <w:r w:rsidR="00D015F2">
        <w:t>-</w:t>
      </w:r>
      <w:r w:rsidRPr="00DA0B27">
        <w:t>6 PM)</w:t>
      </w:r>
    </w:p>
    <w:tbl>
      <w:tblPr>
        <w:tblW w:w="10850" w:type="dxa"/>
        <w:jc w:val="center"/>
        <w:tblInd w:w="93" w:type="dxa"/>
        <w:tblLook w:val="04A0" w:firstRow="1" w:lastRow="0" w:firstColumn="1" w:lastColumn="0" w:noHBand="0" w:noVBand="1"/>
      </w:tblPr>
      <w:tblGrid>
        <w:gridCol w:w="1006"/>
        <w:gridCol w:w="1006"/>
        <w:gridCol w:w="734"/>
        <w:gridCol w:w="1128"/>
        <w:gridCol w:w="1641"/>
        <w:gridCol w:w="1530"/>
        <w:gridCol w:w="1451"/>
        <w:gridCol w:w="1194"/>
        <w:gridCol w:w="1160"/>
      </w:tblGrid>
      <w:tr w:rsidR="00744453" w:rsidRPr="003E52FB" w:rsidTr="00744453">
        <w:trPr>
          <w:trHeight w:val="710"/>
          <w:jc w:val="center"/>
        </w:trPr>
        <w:tc>
          <w:tcPr>
            <w:tcW w:w="1006"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bookmarkStart w:id="138" w:name="_Toc289178031"/>
            <w:bookmarkStart w:id="139" w:name="_Toc326072131"/>
            <w:bookmarkStart w:id="140" w:name="_Toc350845367"/>
            <w:bookmarkStart w:id="141" w:name="_Toc352323655"/>
            <w:bookmarkStart w:id="142" w:name="_Toc412650600"/>
            <w:r w:rsidRPr="003E52FB">
              <w:rPr>
                <w:rFonts w:ascii="Arial" w:eastAsia="Times New Roman" w:hAnsi="Arial" w:cs="Arial"/>
                <w:b/>
                <w:bCs/>
                <w:color w:val="FFFFFF"/>
                <w:sz w:val="20"/>
                <w:szCs w:val="20"/>
              </w:rPr>
              <w:t>Weather Type</w:t>
            </w:r>
          </w:p>
        </w:tc>
        <w:tc>
          <w:tcPr>
            <w:tcW w:w="1006"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Weather Year</w:t>
            </w:r>
          </w:p>
        </w:tc>
        <w:tc>
          <w:tcPr>
            <w:tcW w:w="734"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Year</w:t>
            </w:r>
          </w:p>
        </w:tc>
        <w:tc>
          <w:tcPr>
            <w:tcW w:w="1128"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Enrolled Accounts</w:t>
            </w:r>
          </w:p>
        </w:tc>
        <w:tc>
          <w:tcPr>
            <w:tcW w:w="1641" w:type="dxa"/>
            <w:tcBorders>
              <w:top w:val="single" w:sz="4" w:space="0" w:color="auto"/>
              <w:left w:val="nil"/>
              <w:bottom w:val="single" w:sz="4" w:space="0" w:color="FFFFFF"/>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Aggregate Reference Load</w:t>
            </w:r>
          </w:p>
        </w:tc>
        <w:tc>
          <w:tcPr>
            <w:tcW w:w="1530" w:type="dxa"/>
            <w:tcBorders>
              <w:top w:val="single" w:sz="4" w:space="0" w:color="auto"/>
              <w:left w:val="nil"/>
              <w:bottom w:val="single" w:sz="4" w:space="0" w:color="FFFFFF"/>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Aggregate Estimated Load w/ DR</w:t>
            </w:r>
          </w:p>
        </w:tc>
        <w:tc>
          <w:tcPr>
            <w:tcW w:w="1451" w:type="dxa"/>
            <w:tcBorders>
              <w:top w:val="single" w:sz="4" w:space="0" w:color="auto"/>
              <w:left w:val="nil"/>
              <w:bottom w:val="single" w:sz="4" w:space="0" w:color="FFFFFF"/>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Aggregate Load Impact</w:t>
            </w:r>
          </w:p>
        </w:tc>
        <w:tc>
          <w:tcPr>
            <w:tcW w:w="1194" w:type="dxa"/>
            <w:tcBorders>
              <w:top w:val="single" w:sz="4" w:space="0" w:color="auto"/>
              <w:left w:val="nil"/>
              <w:bottom w:val="single" w:sz="4" w:space="0" w:color="FFFFFF"/>
              <w:right w:val="single" w:sz="4" w:space="0" w:color="FFFFFF"/>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 Load Reduction</w:t>
            </w:r>
          </w:p>
        </w:tc>
        <w:tc>
          <w:tcPr>
            <w:tcW w:w="1160" w:type="dxa"/>
            <w:tcBorders>
              <w:top w:val="single" w:sz="4" w:space="0" w:color="auto"/>
              <w:left w:val="nil"/>
              <w:bottom w:val="single" w:sz="4" w:space="0" w:color="FFFFFF"/>
              <w:right w:val="single" w:sz="4" w:space="0" w:color="auto"/>
            </w:tcBorders>
            <w:shd w:val="clear" w:color="000000" w:fill="0070D0"/>
            <w:vAlign w:val="center"/>
            <w:hideMark/>
          </w:tcPr>
          <w:p w:rsidR="003E52FB" w:rsidRPr="003E52FB" w:rsidRDefault="003E52FB" w:rsidP="00750605">
            <w:pPr>
              <w:spacing w:before="60" w:after="60" w:line="240" w:lineRule="auto"/>
              <w:jc w:val="center"/>
              <w:rPr>
                <w:rFonts w:ascii="Arial" w:eastAsia="Times New Roman" w:hAnsi="Arial" w:cs="Arial"/>
                <w:b/>
                <w:bCs/>
                <w:color w:val="FFFFFF"/>
                <w:sz w:val="20"/>
                <w:szCs w:val="20"/>
              </w:rPr>
            </w:pPr>
            <w:r w:rsidRPr="003E52FB">
              <w:rPr>
                <w:rFonts w:ascii="Arial" w:eastAsia="Times New Roman" w:hAnsi="Arial" w:cs="Arial"/>
                <w:b/>
                <w:bCs/>
                <w:color w:val="FFFFFF"/>
                <w:sz w:val="20"/>
                <w:szCs w:val="20"/>
              </w:rPr>
              <w:t>Weighted Temp.</w:t>
            </w:r>
          </w:p>
        </w:tc>
      </w:tr>
      <w:tr w:rsidR="00744453" w:rsidRPr="003E52FB" w:rsidTr="00744453">
        <w:trPr>
          <w:trHeight w:val="510"/>
          <w:jc w:val="center"/>
        </w:trPr>
        <w:tc>
          <w:tcPr>
            <w:tcW w:w="1006" w:type="dxa"/>
            <w:vMerge/>
            <w:tcBorders>
              <w:top w:val="single" w:sz="4" w:space="0" w:color="auto"/>
              <w:left w:val="single" w:sz="4" w:space="0" w:color="auto"/>
              <w:bottom w:val="single" w:sz="4" w:space="0" w:color="000000"/>
              <w:right w:val="single" w:sz="4" w:space="0" w:color="FFFFFF"/>
            </w:tcBorders>
            <w:vAlign w:val="center"/>
            <w:hideMark/>
          </w:tcPr>
          <w:p w:rsidR="003E52FB" w:rsidRPr="003E52FB" w:rsidRDefault="003E52FB" w:rsidP="00750605">
            <w:pPr>
              <w:spacing w:before="60" w:after="60" w:line="240" w:lineRule="auto"/>
              <w:rPr>
                <w:rFonts w:ascii="Arial" w:eastAsia="Times New Roman" w:hAnsi="Arial" w:cs="Arial"/>
                <w:b/>
                <w:bCs/>
                <w:color w:val="FFFFFF"/>
                <w:sz w:val="20"/>
                <w:szCs w:val="20"/>
              </w:rPr>
            </w:pPr>
          </w:p>
        </w:tc>
        <w:tc>
          <w:tcPr>
            <w:tcW w:w="1006" w:type="dxa"/>
            <w:vMerge/>
            <w:tcBorders>
              <w:top w:val="single" w:sz="4" w:space="0" w:color="auto"/>
              <w:left w:val="single" w:sz="4" w:space="0" w:color="FFFFFF"/>
              <w:bottom w:val="single" w:sz="4" w:space="0" w:color="000000"/>
              <w:right w:val="single" w:sz="4" w:space="0" w:color="FFFFFF"/>
            </w:tcBorders>
            <w:vAlign w:val="center"/>
            <w:hideMark/>
          </w:tcPr>
          <w:p w:rsidR="003E52FB" w:rsidRPr="003E52FB" w:rsidRDefault="003E52FB" w:rsidP="00750605">
            <w:pPr>
              <w:spacing w:before="60" w:after="60" w:line="240" w:lineRule="auto"/>
              <w:rPr>
                <w:rFonts w:ascii="Arial" w:eastAsia="Times New Roman" w:hAnsi="Arial" w:cs="Arial"/>
                <w:b/>
                <w:bCs/>
                <w:color w:val="FFFFFF"/>
                <w:sz w:val="20"/>
                <w:szCs w:val="20"/>
              </w:rPr>
            </w:pPr>
          </w:p>
        </w:tc>
        <w:tc>
          <w:tcPr>
            <w:tcW w:w="734" w:type="dxa"/>
            <w:vMerge/>
            <w:tcBorders>
              <w:top w:val="single" w:sz="4" w:space="0" w:color="auto"/>
              <w:left w:val="single" w:sz="4" w:space="0" w:color="FFFFFF"/>
              <w:bottom w:val="single" w:sz="4" w:space="0" w:color="000000"/>
              <w:right w:val="single" w:sz="4" w:space="0" w:color="FFFFFF"/>
            </w:tcBorders>
            <w:vAlign w:val="center"/>
            <w:hideMark/>
          </w:tcPr>
          <w:p w:rsidR="003E52FB" w:rsidRPr="003E52FB" w:rsidRDefault="003E52FB" w:rsidP="00750605">
            <w:pPr>
              <w:spacing w:before="60" w:after="60" w:line="240" w:lineRule="auto"/>
              <w:rPr>
                <w:rFonts w:ascii="Arial" w:eastAsia="Times New Roman" w:hAnsi="Arial" w:cs="Arial"/>
                <w:b/>
                <w:bCs/>
                <w:color w:val="FFFFFF"/>
                <w:sz w:val="20"/>
                <w:szCs w:val="20"/>
              </w:rPr>
            </w:pPr>
          </w:p>
        </w:tc>
        <w:tc>
          <w:tcPr>
            <w:tcW w:w="1128" w:type="dxa"/>
            <w:vMerge/>
            <w:tcBorders>
              <w:top w:val="single" w:sz="4" w:space="0" w:color="auto"/>
              <w:left w:val="single" w:sz="4" w:space="0" w:color="FFFFFF"/>
              <w:bottom w:val="single" w:sz="4" w:space="0" w:color="000000"/>
              <w:right w:val="single" w:sz="4" w:space="0" w:color="FFFFFF"/>
            </w:tcBorders>
            <w:vAlign w:val="center"/>
            <w:hideMark/>
          </w:tcPr>
          <w:p w:rsidR="003E52FB" w:rsidRPr="003E52FB" w:rsidRDefault="003E52FB" w:rsidP="00750605">
            <w:pPr>
              <w:spacing w:before="60" w:after="60" w:line="240" w:lineRule="auto"/>
              <w:rPr>
                <w:rFonts w:ascii="Arial" w:eastAsia="Times New Roman" w:hAnsi="Arial" w:cs="Arial"/>
                <w:b/>
                <w:bCs/>
                <w:color w:val="FFFFFF"/>
                <w:sz w:val="20"/>
                <w:szCs w:val="20"/>
              </w:rPr>
            </w:pPr>
          </w:p>
        </w:tc>
        <w:tc>
          <w:tcPr>
            <w:tcW w:w="1641" w:type="dxa"/>
            <w:tcBorders>
              <w:top w:val="nil"/>
              <w:left w:val="nil"/>
              <w:bottom w:val="single" w:sz="4" w:space="0" w:color="auto"/>
              <w:right w:val="single" w:sz="4" w:space="0" w:color="FFFFFF"/>
            </w:tcBorders>
            <w:shd w:val="clear" w:color="000000" w:fill="0070D0"/>
            <w:vAlign w:val="center"/>
            <w:hideMark/>
          </w:tcPr>
          <w:p w:rsidR="003E52FB" w:rsidRPr="00750605" w:rsidRDefault="003E52FB" w:rsidP="00750605">
            <w:pPr>
              <w:spacing w:before="60" w:after="60" w:line="240" w:lineRule="auto"/>
              <w:jc w:val="center"/>
              <w:rPr>
                <w:rFonts w:ascii="Arial" w:eastAsia="Times New Roman" w:hAnsi="Arial" w:cs="Arial"/>
                <w:b/>
                <w:color w:val="FFFFFF"/>
                <w:sz w:val="20"/>
                <w:szCs w:val="20"/>
              </w:rPr>
            </w:pPr>
            <w:r w:rsidRPr="00750605">
              <w:rPr>
                <w:rFonts w:ascii="Arial" w:eastAsia="Times New Roman" w:hAnsi="Arial" w:cs="Arial"/>
                <w:b/>
                <w:color w:val="FFFFFF"/>
                <w:sz w:val="20"/>
                <w:szCs w:val="20"/>
              </w:rPr>
              <w:t>(MW 1-6 PM)</w:t>
            </w:r>
          </w:p>
        </w:tc>
        <w:tc>
          <w:tcPr>
            <w:tcW w:w="1530" w:type="dxa"/>
            <w:tcBorders>
              <w:top w:val="nil"/>
              <w:left w:val="nil"/>
              <w:bottom w:val="single" w:sz="4" w:space="0" w:color="auto"/>
              <w:right w:val="single" w:sz="4" w:space="0" w:color="FFFFFF"/>
            </w:tcBorders>
            <w:shd w:val="clear" w:color="000000" w:fill="0070D0"/>
            <w:vAlign w:val="center"/>
            <w:hideMark/>
          </w:tcPr>
          <w:p w:rsidR="003E52FB" w:rsidRPr="00750605" w:rsidRDefault="003E52FB" w:rsidP="00750605">
            <w:pPr>
              <w:spacing w:before="60" w:after="60" w:line="240" w:lineRule="auto"/>
              <w:jc w:val="center"/>
              <w:rPr>
                <w:rFonts w:ascii="Arial" w:eastAsia="Times New Roman" w:hAnsi="Arial" w:cs="Arial"/>
                <w:b/>
                <w:color w:val="FFFFFF"/>
                <w:sz w:val="20"/>
                <w:szCs w:val="20"/>
              </w:rPr>
            </w:pPr>
            <w:r w:rsidRPr="00750605">
              <w:rPr>
                <w:rFonts w:ascii="Arial" w:eastAsia="Times New Roman" w:hAnsi="Arial" w:cs="Arial"/>
                <w:b/>
                <w:color w:val="FFFFFF"/>
                <w:sz w:val="20"/>
                <w:szCs w:val="20"/>
              </w:rPr>
              <w:t>(MW 1-6 PM)</w:t>
            </w:r>
          </w:p>
        </w:tc>
        <w:tc>
          <w:tcPr>
            <w:tcW w:w="1451" w:type="dxa"/>
            <w:tcBorders>
              <w:top w:val="nil"/>
              <w:left w:val="nil"/>
              <w:bottom w:val="single" w:sz="4" w:space="0" w:color="auto"/>
              <w:right w:val="single" w:sz="4" w:space="0" w:color="FFFFFF"/>
            </w:tcBorders>
            <w:shd w:val="clear" w:color="000000" w:fill="0070D0"/>
            <w:vAlign w:val="center"/>
            <w:hideMark/>
          </w:tcPr>
          <w:p w:rsidR="003E52FB" w:rsidRPr="00750605" w:rsidRDefault="003E52FB" w:rsidP="00750605">
            <w:pPr>
              <w:spacing w:before="60" w:after="60" w:line="240" w:lineRule="auto"/>
              <w:jc w:val="center"/>
              <w:rPr>
                <w:rFonts w:ascii="Arial" w:eastAsia="Times New Roman" w:hAnsi="Arial" w:cs="Arial"/>
                <w:b/>
                <w:color w:val="FFFFFF"/>
                <w:sz w:val="20"/>
                <w:szCs w:val="20"/>
              </w:rPr>
            </w:pPr>
            <w:r w:rsidRPr="00750605">
              <w:rPr>
                <w:rFonts w:ascii="Arial" w:eastAsia="Times New Roman" w:hAnsi="Arial" w:cs="Arial"/>
                <w:b/>
                <w:color w:val="FFFFFF"/>
                <w:sz w:val="20"/>
                <w:szCs w:val="20"/>
              </w:rPr>
              <w:t>(MW 1-6 PM)</w:t>
            </w:r>
          </w:p>
        </w:tc>
        <w:tc>
          <w:tcPr>
            <w:tcW w:w="1194" w:type="dxa"/>
            <w:tcBorders>
              <w:top w:val="nil"/>
              <w:left w:val="nil"/>
              <w:bottom w:val="single" w:sz="4" w:space="0" w:color="auto"/>
              <w:right w:val="single" w:sz="4" w:space="0" w:color="FFFFFF"/>
            </w:tcBorders>
            <w:shd w:val="clear" w:color="000000" w:fill="0070D0"/>
            <w:vAlign w:val="center"/>
            <w:hideMark/>
          </w:tcPr>
          <w:p w:rsidR="003E52FB" w:rsidRPr="00750605" w:rsidRDefault="003E52FB" w:rsidP="00750605">
            <w:pPr>
              <w:spacing w:before="60" w:after="60" w:line="240" w:lineRule="auto"/>
              <w:jc w:val="center"/>
              <w:rPr>
                <w:rFonts w:ascii="Arial" w:eastAsia="Times New Roman" w:hAnsi="Arial" w:cs="Arial"/>
                <w:b/>
                <w:color w:val="FFFFFF"/>
                <w:sz w:val="20"/>
                <w:szCs w:val="20"/>
              </w:rPr>
            </w:pPr>
            <w:r w:rsidRPr="00750605">
              <w:rPr>
                <w:rFonts w:ascii="Arial" w:eastAsia="Times New Roman" w:hAnsi="Arial" w:cs="Arial"/>
                <w:b/>
                <w:color w:val="FFFFFF"/>
                <w:sz w:val="20"/>
                <w:szCs w:val="20"/>
              </w:rPr>
              <w:t>(%)</w:t>
            </w:r>
          </w:p>
        </w:tc>
        <w:tc>
          <w:tcPr>
            <w:tcW w:w="1160" w:type="dxa"/>
            <w:tcBorders>
              <w:top w:val="nil"/>
              <w:left w:val="nil"/>
              <w:bottom w:val="single" w:sz="4" w:space="0" w:color="auto"/>
              <w:right w:val="single" w:sz="4" w:space="0" w:color="auto"/>
            </w:tcBorders>
            <w:shd w:val="clear" w:color="000000" w:fill="0070D0"/>
            <w:vAlign w:val="center"/>
            <w:hideMark/>
          </w:tcPr>
          <w:p w:rsidR="003E52FB" w:rsidRPr="00750605" w:rsidRDefault="003E52FB" w:rsidP="00750605">
            <w:pPr>
              <w:spacing w:before="60" w:after="60" w:line="240" w:lineRule="auto"/>
              <w:jc w:val="center"/>
              <w:rPr>
                <w:rFonts w:ascii="Arial" w:eastAsia="Times New Roman" w:hAnsi="Arial" w:cs="Arial"/>
                <w:b/>
                <w:color w:val="FFFFFF"/>
                <w:sz w:val="20"/>
                <w:szCs w:val="20"/>
              </w:rPr>
            </w:pPr>
            <w:r w:rsidRPr="00750605">
              <w:rPr>
                <w:rFonts w:ascii="Arial" w:eastAsia="Times New Roman" w:hAnsi="Arial" w:cs="Arial"/>
                <w:b/>
                <w:color w:val="FFFFFF"/>
                <w:sz w:val="20"/>
                <w:szCs w:val="20"/>
              </w:rPr>
              <w:t>(°F)</w:t>
            </w:r>
          </w:p>
        </w:tc>
      </w:tr>
      <w:tr w:rsidR="003E52FB" w:rsidRPr="003E52FB" w:rsidTr="00744453">
        <w:trPr>
          <w:trHeight w:val="300"/>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PG&amp;E</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1-in-10</w:t>
            </w: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2,092</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704.6</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648.4</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56.3</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8.0%</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95.7</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2,594</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870.3</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799.4</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70.9</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8.1%</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96.0</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2,629</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882.0</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810.0</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72.0</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8.2%</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96.0</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1-in-2</w:t>
            </w: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2,092</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676.9</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625.9</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51.0</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7.5%</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92.1</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2,594</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836.4</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772.4</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64.0</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7.7%</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92.4</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2,629</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847.7</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782.6</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65.0</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7.7%</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92.4</w:t>
            </w:r>
          </w:p>
        </w:tc>
      </w:tr>
      <w:tr w:rsidR="003E52FB" w:rsidRPr="003E52FB" w:rsidTr="00744453">
        <w:trPr>
          <w:trHeight w:val="255"/>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CAISO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1-in-10</w:t>
            </w: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2,092</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685.2</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631.7</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53.5</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7.8%</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92.5</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2,594</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846.8</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779.4</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67.4</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8.0%</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92.9</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2,629</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858.2</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789.7</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68.4</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8.0%</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92.9</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1-in-2</w:t>
            </w: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2,092</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648.3</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604.3</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44.1</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6.8%</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89.0</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2,594</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801.4</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746.3</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55.1</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6.9%</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89.3</w:t>
            </w:r>
          </w:p>
        </w:tc>
      </w:tr>
      <w:tr w:rsidR="003E52FB" w:rsidRPr="003E52FB" w:rsidTr="00744453">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3E52FB" w:rsidRPr="003E52FB" w:rsidRDefault="003E52FB" w:rsidP="00750605">
            <w:pPr>
              <w:spacing w:before="60" w:after="60" w:line="240" w:lineRule="auto"/>
              <w:rPr>
                <w:rFonts w:ascii="Arial" w:eastAsia="Times New Roman" w:hAnsi="Arial" w:cs="Arial"/>
                <w:color w:val="000000"/>
                <w:sz w:val="20"/>
                <w:szCs w:val="20"/>
              </w:rPr>
            </w:pPr>
          </w:p>
        </w:tc>
        <w:tc>
          <w:tcPr>
            <w:tcW w:w="73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2,629</w:t>
            </w:r>
          </w:p>
        </w:tc>
        <w:tc>
          <w:tcPr>
            <w:tcW w:w="164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812.2</w:t>
            </w:r>
          </w:p>
        </w:tc>
        <w:tc>
          <w:tcPr>
            <w:tcW w:w="153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756.2</w:t>
            </w:r>
          </w:p>
        </w:tc>
        <w:tc>
          <w:tcPr>
            <w:tcW w:w="1451"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56.0</w:t>
            </w:r>
          </w:p>
        </w:tc>
        <w:tc>
          <w:tcPr>
            <w:tcW w:w="1194"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6.9%</w:t>
            </w:r>
          </w:p>
        </w:tc>
        <w:tc>
          <w:tcPr>
            <w:tcW w:w="1160" w:type="dxa"/>
            <w:tcBorders>
              <w:top w:val="nil"/>
              <w:left w:val="nil"/>
              <w:bottom w:val="single" w:sz="4" w:space="0" w:color="auto"/>
              <w:right w:val="single" w:sz="4" w:space="0" w:color="auto"/>
            </w:tcBorders>
            <w:shd w:val="clear" w:color="auto" w:fill="auto"/>
            <w:noWrap/>
            <w:vAlign w:val="center"/>
            <w:hideMark/>
          </w:tcPr>
          <w:p w:rsidR="003E52FB" w:rsidRPr="003E52FB" w:rsidRDefault="003E52FB" w:rsidP="00750605">
            <w:pPr>
              <w:spacing w:before="60" w:after="60" w:line="240" w:lineRule="auto"/>
              <w:jc w:val="center"/>
              <w:rPr>
                <w:rFonts w:ascii="Arial" w:eastAsia="Times New Roman" w:hAnsi="Arial" w:cs="Arial"/>
                <w:color w:val="000000"/>
                <w:sz w:val="20"/>
                <w:szCs w:val="20"/>
              </w:rPr>
            </w:pPr>
            <w:r w:rsidRPr="003E52FB">
              <w:rPr>
                <w:rFonts w:ascii="Arial" w:eastAsia="Times New Roman" w:hAnsi="Arial" w:cs="Arial"/>
                <w:color w:val="000000"/>
                <w:sz w:val="20"/>
                <w:szCs w:val="20"/>
              </w:rPr>
              <w:t>89.3</w:t>
            </w:r>
          </w:p>
        </w:tc>
      </w:tr>
    </w:tbl>
    <w:p w:rsidR="006A7080" w:rsidRDefault="006A7080" w:rsidP="004C53F1">
      <w:pPr>
        <w:pStyle w:val="Heading3"/>
        <w:spacing w:before="360"/>
      </w:pPr>
      <w:bookmarkStart w:id="143" w:name="_Toc415494772"/>
      <w:r>
        <w:t>Ex Ante Load Impact Uncertainty</w:t>
      </w:r>
      <w:bookmarkEnd w:id="138"/>
      <w:bookmarkEnd w:id="139"/>
      <w:bookmarkEnd w:id="140"/>
      <w:bookmarkEnd w:id="141"/>
      <w:bookmarkEnd w:id="142"/>
      <w:bookmarkEnd w:id="143"/>
      <w:r>
        <w:t xml:space="preserve"> </w:t>
      </w:r>
    </w:p>
    <w:p w:rsidR="006A7080" w:rsidRDefault="006A7080" w:rsidP="006A7080">
      <w:pPr>
        <w:pStyle w:val="BodyParagraph"/>
      </w:pPr>
      <w:r>
        <w:t>Table 5-4</w:t>
      </w:r>
      <w:r w:rsidRPr="00135AA2">
        <w:t xml:space="preserve"> summarizes the statistical uncertainty in the </w:t>
      </w:r>
      <w:proofErr w:type="spellStart"/>
      <w:r w:rsidRPr="00135AA2">
        <w:t>ex ante</w:t>
      </w:r>
      <w:proofErr w:type="spellEnd"/>
      <w:r w:rsidRPr="00135AA2">
        <w:t xml:space="preserve"> annual system peak load impact estimates for large C&amp;I customers that </w:t>
      </w:r>
      <w:r>
        <w:t>are presented in Table 5-3</w:t>
      </w:r>
      <w:proofErr w:type="gramStart"/>
      <w:r w:rsidRPr="00135AA2">
        <w:t xml:space="preserve">.  </w:t>
      </w:r>
      <w:proofErr w:type="gramEnd"/>
      <w:r w:rsidRPr="00135AA2">
        <w:t>Ex ante impacts and the uncertainty in those estimates do not reflect uncertainty in the enrollment forecast</w:t>
      </w:r>
      <w:proofErr w:type="gramStart"/>
      <w:r w:rsidRPr="00135AA2">
        <w:t xml:space="preserve">.  </w:t>
      </w:r>
      <w:proofErr w:type="gramEnd"/>
      <w:r w:rsidRPr="00135AA2">
        <w:t>At first glance, the uncertainty appears large</w:t>
      </w:r>
      <w:proofErr w:type="gramStart"/>
      <w:r w:rsidRPr="00135AA2">
        <w:t xml:space="preserve">.  </w:t>
      </w:r>
      <w:proofErr w:type="gramEnd"/>
      <w:r w:rsidRPr="00135AA2">
        <w:t>For example, in 201</w:t>
      </w:r>
      <w:r>
        <w:t>5</w:t>
      </w:r>
      <w:r w:rsidRPr="00135AA2">
        <w:t xml:space="preserve">, the projected load impacts for </w:t>
      </w:r>
      <w:r>
        <w:t xml:space="preserve">August </w:t>
      </w:r>
      <w:r w:rsidRPr="00135AA2">
        <w:t xml:space="preserve">1-in-2 </w:t>
      </w:r>
      <w:r>
        <w:t xml:space="preserve">year, PG&amp;E </w:t>
      </w:r>
      <w:r w:rsidRPr="00135AA2">
        <w:t xml:space="preserve">weather </w:t>
      </w:r>
      <w:r>
        <w:t>have an</w:t>
      </w:r>
      <w:r w:rsidR="00016D6E">
        <w:t xml:space="preserve"> 80% confidence interval of 35.0</w:t>
      </w:r>
      <w:r>
        <w:t xml:space="preserve"> MW</w:t>
      </w:r>
      <w:r w:rsidR="00016D6E">
        <w:t xml:space="preserve"> to 66.9</w:t>
      </w:r>
      <w:r w:rsidR="007A706B">
        <w:t xml:space="preserve"> MW</w:t>
      </w:r>
      <w:proofErr w:type="gramStart"/>
      <w:r w:rsidRPr="00135AA2">
        <w:t xml:space="preserve">.  </w:t>
      </w:r>
      <w:proofErr w:type="gramEnd"/>
      <w:r>
        <w:t>T</w:t>
      </w:r>
      <w:r w:rsidRPr="00135AA2">
        <w:t xml:space="preserve">he large confidence intervals in the </w:t>
      </w:r>
      <w:proofErr w:type="spellStart"/>
      <w:r w:rsidRPr="00135AA2">
        <w:t>ex ante</w:t>
      </w:r>
      <w:proofErr w:type="spellEnd"/>
      <w:r w:rsidRPr="00135AA2">
        <w:t xml:space="preserve"> forecasts reflect the challenges of accurately estimating small percentage demand reductions and the variability in performance observed across events</w:t>
      </w:r>
      <w:proofErr w:type="gramStart"/>
      <w:r w:rsidRPr="00135AA2">
        <w:t>.</w:t>
      </w:r>
      <w:r>
        <w:t xml:space="preserve">  </w:t>
      </w:r>
      <w:proofErr w:type="gramEnd"/>
      <w:r>
        <w:t>It is harder to accurately estimate a smaller percent change from the variation inherent in day to day loads</w:t>
      </w:r>
      <w:proofErr w:type="gramStart"/>
      <w:r>
        <w:t xml:space="preserve">.  </w:t>
      </w:r>
      <w:proofErr w:type="gramEnd"/>
      <w:r>
        <w:t>Put in percentage terms, the uncertainty seems much smaller, with a</w:t>
      </w:r>
      <w:r w:rsidR="00016D6E">
        <w:t>n 80% confidence interval of 5.2</w:t>
      </w:r>
      <w:r>
        <w:t>%</w:t>
      </w:r>
      <w:r w:rsidR="007A706B">
        <w:t xml:space="preserve"> to</w:t>
      </w:r>
      <w:r w:rsidR="00016D6E">
        <w:t xml:space="preserve"> 9.9</w:t>
      </w:r>
      <w:r>
        <w:t>%</w:t>
      </w:r>
      <w:proofErr w:type="gramStart"/>
      <w:r>
        <w:t xml:space="preserve">.  </w:t>
      </w:r>
      <w:proofErr w:type="gramEnd"/>
      <w:r>
        <w:t xml:space="preserve">For this program in particular, small differences in the estimated percent demand reductions can appear </w:t>
      </w:r>
      <w:r w:rsidR="00D01C1A">
        <w:t>to be</w:t>
      </w:r>
      <w:r>
        <w:t xml:space="preserve"> large changes in</w:t>
      </w:r>
      <w:r w:rsidR="002844CF">
        <w:t> </w:t>
      </w:r>
      <w:r>
        <w:t>the</w:t>
      </w:r>
      <w:r w:rsidR="002844CF">
        <w:t> </w:t>
      </w:r>
      <w:r>
        <w:t>estimate MW reductions, if the uncertainty is not considered.</w:t>
      </w:r>
    </w:p>
    <w:p w:rsidR="006A7080" w:rsidRDefault="006A7080" w:rsidP="006A7080">
      <w:pPr>
        <w:rPr>
          <w:rFonts w:ascii="Calibri" w:hAnsi="Calibri"/>
          <w:b/>
        </w:rPr>
      </w:pPr>
      <w:r>
        <w:br w:type="page"/>
      </w:r>
    </w:p>
    <w:p w:rsidR="007A706B" w:rsidRDefault="006A7080" w:rsidP="007A706B">
      <w:pPr>
        <w:pStyle w:val="TableFigureCaption"/>
      </w:pPr>
      <w:r>
        <w:lastRenderedPageBreak/>
        <w:t>Table 5-4</w:t>
      </w:r>
      <w:r w:rsidRPr="00DA0B27">
        <w:t xml:space="preserve">: Aggregate Default CPP </w:t>
      </w:r>
      <w:proofErr w:type="gramStart"/>
      <w:r w:rsidRPr="00DA0B27">
        <w:t>Ex</w:t>
      </w:r>
      <w:proofErr w:type="gramEnd"/>
      <w:r w:rsidRPr="00DA0B27">
        <w:t xml:space="preserve"> Ante Load Impact Estimates </w:t>
      </w:r>
      <w:r w:rsidR="002844CF">
        <w:br/>
      </w:r>
      <w:r w:rsidRPr="00DA0B27">
        <w:t>for Large C&amp;I with Uncertainty</w:t>
      </w:r>
      <w:r w:rsidR="007A706B">
        <w:t xml:space="preserve">, </w:t>
      </w:r>
      <w:r w:rsidRPr="00DA0B27">
        <w:t>PG&amp;E August System Peak Day (MW 1</w:t>
      </w:r>
      <w:r w:rsidR="00750605">
        <w:t>-</w:t>
      </w:r>
      <w:r w:rsidRPr="00DA0B27">
        <w:t>6 PM)</w:t>
      </w:r>
    </w:p>
    <w:tbl>
      <w:tblPr>
        <w:tblW w:w="9780" w:type="dxa"/>
        <w:jc w:val="center"/>
        <w:tblInd w:w="93" w:type="dxa"/>
        <w:tblLook w:val="04A0" w:firstRow="1" w:lastRow="0" w:firstColumn="1" w:lastColumn="0" w:noHBand="0" w:noVBand="1"/>
      </w:tblPr>
      <w:tblGrid>
        <w:gridCol w:w="1040"/>
        <w:gridCol w:w="1040"/>
        <w:gridCol w:w="960"/>
        <w:gridCol w:w="1505"/>
        <w:gridCol w:w="1030"/>
        <w:gridCol w:w="1025"/>
        <w:gridCol w:w="980"/>
        <w:gridCol w:w="1100"/>
        <w:gridCol w:w="1100"/>
      </w:tblGrid>
      <w:tr w:rsidR="00B0043A" w:rsidRPr="00B0043A" w:rsidTr="00744453">
        <w:trPr>
          <w:trHeight w:val="1020"/>
          <w:jc w:val="center"/>
        </w:trPr>
        <w:tc>
          <w:tcPr>
            <w:tcW w:w="1040"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bookmarkStart w:id="144" w:name="_Toc289178032"/>
            <w:bookmarkStart w:id="145" w:name="_Toc326072132"/>
            <w:bookmarkStart w:id="146" w:name="_Toc350845368"/>
            <w:bookmarkStart w:id="147" w:name="_Toc352323656"/>
            <w:bookmarkStart w:id="148" w:name="_Toc412650601"/>
            <w:r w:rsidRPr="00B0043A">
              <w:rPr>
                <w:rFonts w:ascii="Arial" w:eastAsia="Times New Roman" w:hAnsi="Arial" w:cs="Arial"/>
                <w:b/>
                <w:bCs/>
                <w:color w:val="FFFFFF"/>
                <w:sz w:val="20"/>
                <w:szCs w:val="20"/>
              </w:rPr>
              <w:t>Weather Type</w:t>
            </w:r>
          </w:p>
        </w:tc>
        <w:tc>
          <w:tcPr>
            <w:tcW w:w="104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Weather Year</w:t>
            </w:r>
          </w:p>
        </w:tc>
        <w:tc>
          <w:tcPr>
            <w:tcW w:w="96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Year</w:t>
            </w:r>
          </w:p>
        </w:tc>
        <w:tc>
          <w:tcPr>
            <w:tcW w:w="1505" w:type="dxa"/>
            <w:tcBorders>
              <w:top w:val="single" w:sz="4" w:space="0" w:color="auto"/>
              <w:left w:val="nil"/>
              <w:bottom w:val="single" w:sz="4" w:space="0" w:color="FFFFFF"/>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Expected Aggregate Load Impact</w:t>
            </w:r>
          </w:p>
        </w:tc>
        <w:tc>
          <w:tcPr>
            <w:tcW w:w="5235" w:type="dxa"/>
            <w:gridSpan w:val="5"/>
            <w:tcBorders>
              <w:top w:val="single" w:sz="4" w:space="0" w:color="auto"/>
              <w:left w:val="nil"/>
              <w:bottom w:val="single" w:sz="4" w:space="0" w:color="FFFFFF"/>
              <w:right w:val="single" w:sz="4" w:space="0" w:color="000000"/>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Impact Uncertainty</w:t>
            </w:r>
          </w:p>
        </w:tc>
      </w:tr>
      <w:tr w:rsidR="00B0043A" w:rsidRPr="00B0043A" w:rsidTr="00744453">
        <w:trPr>
          <w:trHeight w:val="510"/>
          <w:jc w:val="center"/>
        </w:trPr>
        <w:tc>
          <w:tcPr>
            <w:tcW w:w="1040" w:type="dxa"/>
            <w:vMerge/>
            <w:tcBorders>
              <w:top w:val="single" w:sz="4" w:space="0" w:color="auto"/>
              <w:left w:val="single" w:sz="4" w:space="0" w:color="auto"/>
              <w:bottom w:val="single" w:sz="4" w:space="0" w:color="000000"/>
              <w:right w:val="single" w:sz="4" w:space="0" w:color="FFFFFF"/>
            </w:tcBorders>
            <w:vAlign w:val="center"/>
            <w:hideMark/>
          </w:tcPr>
          <w:p w:rsidR="00B0043A" w:rsidRPr="00B0043A" w:rsidRDefault="00B0043A" w:rsidP="00750605">
            <w:pPr>
              <w:spacing w:before="60" w:after="60" w:line="240" w:lineRule="auto"/>
              <w:rPr>
                <w:rFonts w:ascii="Arial" w:eastAsia="Times New Roman" w:hAnsi="Arial" w:cs="Arial"/>
                <w:b/>
                <w:bCs/>
                <w:color w:val="FFFFFF"/>
                <w:sz w:val="20"/>
                <w:szCs w:val="20"/>
              </w:rPr>
            </w:pPr>
          </w:p>
        </w:tc>
        <w:tc>
          <w:tcPr>
            <w:tcW w:w="1040" w:type="dxa"/>
            <w:vMerge/>
            <w:tcBorders>
              <w:top w:val="single" w:sz="4" w:space="0" w:color="auto"/>
              <w:left w:val="single" w:sz="4" w:space="0" w:color="FFFFFF"/>
              <w:bottom w:val="single" w:sz="4" w:space="0" w:color="000000"/>
              <w:right w:val="single" w:sz="4" w:space="0" w:color="FFFFFF"/>
            </w:tcBorders>
            <w:vAlign w:val="center"/>
            <w:hideMark/>
          </w:tcPr>
          <w:p w:rsidR="00B0043A" w:rsidRPr="00B0043A" w:rsidRDefault="00B0043A" w:rsidP="00750605">
            <w:pPr>
              <w:spacing w:before="60" w:after="60" w:line="240" w:lineRule="auto"/>
              <w:rPr>
                <w:rFonts w:ascii="Arial" w:eastAsia="Times New Roman" w:hAnsi="Arial" w:cs="Arial"/>
                <w:b/>
                <w:bCs/>
                <w:color w:val="FFFFFF"/>
                <w:sz w:val="20"/>
                <w:szCs w:val="20"/>
              </w:rPr>
            </w:pPr>
          </w:p>
        </w:tc>
        <w:tc>
          <w:tcPr>
            <w:tcW w:w="960" w:type="dxa"/>
            <w:vMerge/>
            <w:tcBorders>
              <w:top w:val="single" w:sz="4" w:space="0" w:color="auto"/>
              <w:left w:val="single" w:sz="4" w:space="0" w:color="FFFFFF"/>
              <w:bottom w:val="single" w:sz="4" w:space="0" w:color="000000"/>
              <w:right w:val="single" w:sz="4" w:space="0" w:color="FFFFFF"/>
            </w:tcBorders>
            <w:vAlign w:val="center"/>
            <w:hideMark/>
          </w:tcPr>
          <w:p w:rsidR="00B0043A" w:rsidRPr="00B0043A" w:rsidRDefault="00B0043A" w:rsidP="00750605">
            <w:pPr>
              <w:spacing w:before="60" w:after="60" w:line="240" w:lineRule="auto"/>
              <w:rPr>
                <w:rFonts w:ascii="Arial" w:eastAsia="Times New Roman" w:hAnsi="Arial" w:cs="Arial"/>
                <w:b/>
                <w:bCs/>
                <w:color w:val="FFFFFF"/>
                <w:sz w:val="20"/>
                <w:szCs w:val="20"/>
              </w:rPr>
            </w:pPr>
          </w:p>
        </w:tc>
        <w:tc>
          <w:tcPr>
            <w:tcW w:w="1505" w:type="dxa"/>
            <w:tcBorders>
              <w:top w:val="nil"/>
              <w:left w:val="nil"/>
              <w:bottom w:val="single" w:sz="4" w:space="0" w:color="auto"/>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(MW 1-6 PM)</w:t>
            </w:r>
          </w:p>
        </w:tc>
        <w:tc>
          <w:tcPr>
            <w:tcW w:w="1030" w:type="dxa"/>
            <w:tcBorders>
              <w:top w:val="nil"/>
              <w:left w:val="nil"/>
              <w:bottom w:val="single" w:sz="4" w:space="0" w:color="auto"/>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10th</w:t>
            </w:r>
          </w:p>
        </w:tc>
        <w:tc>
          <w:tcPr>
            <w:tcW w:w="1025" w:type="dxa"/>
            <w:tcBorders>
              <w:top w:val="nil"/>
              <w:left w:val="nil"/>
              <w:bottom w:val="single" w:sz="4" w:space="0" w:color="auto"/>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30th</w:t>
            </w:r>
          </w:p>
        </w:tc>
        <w:tc>
          <w:tcPr>
            <w:tcW w:w="980" w:type="dxa"/>
            <w:tcBorders>
              <w:top w:val="nil"/>
              <w:left w:val="nil"/>
              <w:bottom w:val="single" w:sz="4" w:space="0" w:color="auto"/>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50th</w:t>
            </w:r>
          </w:p>
        </w:tc>
        <w:tc>
          <w:tcPr>
            <w:tcW w:w="1100" w:type="dxa"/>
            <w:tcBorders>
              <w:top w:val="nil"/>
              <w:left w:val="nil"/>
              <w:bottom w:val="single" w:sz="4" w:space="0" w:color="auto"/>
              <w:right w:val="single" w:sz="4" w:space="0" w:color="FFFFFF"/>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70th</w:t>
            </w:r>
          </w:p>
        </w:tc>
        <w:tc>
          <w:tcPr>
            <w:tcW w:w="1100" w:type="dxa"/>
            <w:tcBorders>
              <w:top w:val="nil"/>
              <w:left w:val="nil"/>
              <w:bottom w:val="single" w:sz="4" w:space="0" w:color="auto"/>
              <w:right w:val="single" w:sz="4" w:space="0" w:color="auto"/>
            </w:tcBorders>
            <w:shd w:val="clear" w:color="000000" w:fill="0070D0"/>
            <w:vAlign w:val="center"/>
            <w:hideMark/>
          </w:tcPr>
          <w:p w:rsidR="00B0043A" w:rsidRPr="00B0043A" w:rsidRDefault="00B0043A" w:rsidP="00750605">
            <w:pPr>
              <w:spacing w:before="60" w:after="60" w:line="240" w:lineRule="auto"/>
              <w:jc w:val="center"/>
              <w:rPr>
                <w:rFonts w:ascii="Arial" w:eastAsia="Times New Roman" w:hAnsi="Arial" w:cs="Arial"/>
                <w:b/>
                <w:bCs/>
                <w:color w:val="FFFFFF"/>
                <w:sz w:val="20"/>
                <w:szCs w:val="20"/>
              </w:rPr>
            </w:pPr>
            <w:r w:rsidRPr="00B0043A">
              <w:rPr>
                <w:rFonts w:ascii="Arial" w:eastAsia="Times New Roman" w:hAnsi="Arial" w:cs="Arial"/>
                <w:b/>
                <w:bCs/>
                <w:color w:val="FFFFFF"/>
                <w:sz w:val="20"/>
                <w:szCs w:val="20"/>
              </w:rPr>
              <w:t>90th</w:t>
            </w:r>
          </w:p>
        </w:tc>
      </w:tr>
      <w:tr w:rsidR="00B0043A" w:rsidRPr="00B0043A" w:rsidTr="00744453">
        <w:trPr>
          <w:trHeight w:val="300"/>
          <w:jc w:val="center"/>
        </w:trPr>
        <w:tc>
          <w:tcPr>
            <w:tcW w:w="10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PG&amp;E</w:t>
            </w: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56.3</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38.7</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49.1</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56.3</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63.4</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73.8</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2016</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70.9</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49.0</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61.9</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70.9</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79.9</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92.8</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2025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72.0</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49.8</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62.9</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72.0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81.1</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94.2</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1-in-2</w:t>
            </w: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51.0</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35.0</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44.4</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51.0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57.5</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66.9</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2016</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64.0</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44.1</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55.9</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64.0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72.2</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84.0</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2025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65.0</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44.8</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56.8</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65.0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73.3</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85.3</w:t>
            </w:r>
          </w:p>
        </w:tc>
      </w:tr>
      <w:tr w:rsidR="00B0043A" w:rsidRPr="00B0043A" w:rsidTr="00744453">
        <w:trPr>
          <w:trHeight w:val="255"/>
          <w:jc w:val="center"/>
        </w:trPr>
        <w:tc>
          <w:tcPr>
            <w:tcW w:w="10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CAISO</w:t>
            </w: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53.5</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37.0</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46.7</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53.5</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60.2</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70.0</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2016</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67.4</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46.7</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58.9</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67.4</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75.8</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88.0</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2025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68.4</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47.5</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59.8</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68.4</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77.0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89.3</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val="restart"/>
            <w:tcBorders>
              <w:top w:val="nil"/>
              <w:left w:val="single" w:sz="4" w:space="0" w:color="auto"/>
              <w:bottom w:val="single" w:sz="4" w:space="0" w:color="auto"/>
              <w:right w:val="single" w:sz="4" w:space="0" w:color="auto"/>
            </w:tcBorders>
            <w:shd w:val="clear" w:color="auto" w:fill="auto"/>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1-in-2</w:t>
            </w: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44.1</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29.0</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37.9</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44.1</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50.2</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59.1</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2016</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55.1</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36.2</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47.4</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55.1</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62.8</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74.0</w:t>
            </w:r>
          </w:p>
        </w:tc>
      </w:tr>
      <w:tr w:rsidR="00B0043A" w:rsidRPr="00B0043A" w:rsidTr="00744453">
        <w:trPr>
          <w:trHeight w:val="255"/>
          <w:jc w:val="center"/>
        </w:trPr>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1040" w:type="dxa"/>
            <w:vMerge/>
            <w:tcBorders>
              <w:top w:val="nil"/>
              <w:left w:val="single" w:sz="4" w:space="0" w:color="auto"/>
              <w:bottom w:val="single" w:sz="4" w:space="0" w:color="auto"/>
              <w:right w:val="single" w:sz="4" w:space="0" w:color="auto"/>
            </w:tcBorders>
            <w:vAlign w:val="center"/>
            <w:hideMark/>
          </w:tcPr>
          <w:p w:rsidR="00B0043A" w:rsidRPr="00B0043A" w:rsidRDefault="00B0043A" w:rsidP="00750605">
            <w:pPr>
              <w:spacing w:before="60" w:after="6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2025</w:t>
            </w:r>
          </w:p>
        </w:tc>
        <w:tc>
          <w:tcPr>
            <w:tcW w:w="150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56.0</w:t>
            </w:r>
          </w:p>
        </w:tc>
        <w:tc>
          <w:tcPr>
            <w:tcW w:w="103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36.9</w:t>
            </w:r>
          </w:p>
        </w:tc>
        <w:tc>
          <w:tcPr>
            <w:tcW w:w="1025"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48.1</w:t>
            </w:r>
          </w:p>
        </w:tc>
        <w:tc>
          <w:tcPr>
            <w:tcW w:w="98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56.0</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63.8</w:t>
            </w:r>
          </w:p>
        </w:tc>
        <w:tc>
          <w:tcPr>
            <w:tcW w:w="1100" w:type="dxa"/>
            <w:tcBorders>
              <w:top w:val="nil"/>
              <w:left w:val="nil"/>
              <w:bottom w:val="single" w:sz="4" w:space="0" w:color="auto"/>
              <w:right w:val="single" w:sz="4" w:space="0" w:color="auto"/>
            </w:tcBorders>
            <w:shd w:val="clear" w:color="auto" w:fill="auto"/>
            <w:noWrap/>
            <w:vAlign w:val="center"/>
            <w:hideMark/>
          </w:tcPr>
          <w:p w:rsidR="00B0043A" w:rsidRPr="00B0043A" w:rsidRDefault="00B0043A" w:rsidP="00750605">
            <w:pPr>
              <w:spacing w:before="60" w:after="60" w:line="240" w:lineRule="auto"/>
              <w:jc w:val="center"/>
              <w:rPr>
                <w:rFonts w:ascii="Arial" w:eastAsia="Times New Roman" w:hAnsi="Arial" w:cs="Arial"/>
                <w:color w:val="000000"/>
                <w:sz w:val="20"/>
                <w:szCs w:val="20"/>
              </w:rPr>
            </w:pPr>
            <w:r w:rsidRPr="00B0043A">
              <w:rPr>
                <w:rFonts w:ascii="Arial" w:eastAsia="Times New Roman" w:hAnsi="Arial" w:cs="Arial"/>
                <w:color w:val="000000"/>
                <w:sz w:val="20"/>
                <w:szCs w:val="20"/>
              </w:rPr>
              <w:t>75.1</w:t>
            </w:r>
          </w:p>
        </w:tc>
      </w:tr>
    </w:tbl>
    <w:p w:rsidR="006A7080" w:rsidRPr="00E84E74" w:rsidRDefault="006A7080" w:rsidP="004C53F1">
      <w:pPr>
        <w:pStyle w:val="Heading3"/>
        <w:spacing w:before="360"/>
        <w:rPr>
          <w:rFonts w:cs="Calibri"/>
        </w:rPr>
      </w:pPr>
      <w:bookmarkStart w:id="149" w:name="_Toc415494773"/>
      <w:r>
        <w:t xml:space="preserve">Ex Ante </w:t>
      </w:r>
      <w:r w:rsidRPr="007E27F3">
        <w:t>Impacts</w:t>
      </w:r>
      <w:r>
        <w:t xml:space="preserve"> by Geographic </w:t>
      </w:r>
      <w:r w:rsidRPr="008429AC">
        <w:t>Location</w:t>
      </w:r>
      <w:bookmarkEnd w:id="144"/>
      <w:bookmarkEnd w:id="145"/>
      <w:bookmarkEnd w:id="146"/>
      <w:bookmarkEnd w:id="147"/>
      <w:bookmarkEnd w:id="148"/>
      <w:r>
        <w:t xml:space="preserve"> and Month</w:t>
      </w:r>
      <w:bookmarkEnd w:id="149"/>
      <w:r>
        <w:t xml:space="preserve"> </w:t>
      </w:r>
    </w:p>
    <w:p w:rsidR="006A7080" w:rsidRPr="00135AA2" w:rsidRDefault="006A7080" w:rsidP="006A7080">
      <w:pPr>
        <w:pStyle w:val="BodyParagraph"/>
      </w:pPr>
      <w:r>
        <w:t>Table 5-5 presents aggregate 2015</w:t>
      </w:r>
      <w:r w:rsidRPr="00135AA2">
        <w:t xml:space="preserve"> ex ante </w:t>
      </w:r>
      <w:r w:rsidR="004E01BF">
        <w:t>impacts for each LCA by month</w:t>
      </w:r>
      <w:r w:rsidRPr="00135AA2">
        <w:t xml:space="preserve"> for large C&amp;I customers</w:t>
      </w:r>
      <w:proofErr w:type="gramStart"/>
      <w:r w:rsidRPr="00135AA2">
        <w:t xml:space="preserve">.  </w:t>
      </w:r>
      <w:proofErr w:type="gramEnd"/>
      <w:r w:rsidRPr="00135AA2">
        <w:t>Load impacts are shown for the Resource Adequacy hours in effect for each month</w:t>
      </w:r>
      <w:r>
        <w:t>, which are</w:t>
      </w:r>
      <w:r w:rsidRPr="00135AA2">
        <w:t xml:space="preserve"> 1</w:t>
      </w:r>
      <w:r>
        <w:t xml:space="preserve"> to </w:t>
      </w:r>
      <w:r w:rsidRPr="00135AA2">
        <w:t>6 PM in the summer months and 4</w:t>
      </w:r>
      <w:r>
        <w:t xml:space="preserve"> to </w:t>
      </w:r>
      <w:r w:rsidRPr="00135AA2">
        <w:t>9 PM in the winter months</w:t>
      </w:r>
      <w:proofErr w:type="gramStart"/>
      <w:r w:rsidRPr="00135AA2">
        <w:t xml:space="preserve">.  </w:t>
      </w:r>
      <w:proofErr w:type="gramEnd"/>
      <w:r>
        <w:t xml:space="preserve">As </w:t>
      </w:r>
      <w:r w:rsidR="00E43955">
        <w:t>a result of</w:t>
      </w:r>
      <w:r w:rsidR="00250C89">
        <w:t> </w:t>
      </w:r>
      <w:r w:rsidR="00E43955">
        <w:t>the CPP event window ending at 6 PM</w:t>
      </w:r>
      <w:r>
        <w:t>, impacts are typically between 3 and 4 times larger in</w:t>
      </w:r>
      <w:r w:rsidR="00250C89">
        <w:t> </w:t>
      </w:r>
      <w:r>
        <w:t>the summer months compared with winter months</w:t>
      </w:r>
      <w:proofErr w:type="gramStart"/>
      <w:r>
        <w:t xml:space="preserve">.  </w:t>
      </w:r>
      <w:proofErr w:type="gramEnd"/>
      <w:r>
        <w:t>It should also be noted that estimates for months outside of the June to September timeframe should be used with caution as PG&amp;E has not called events in shoulder and winter months since the implementation of default TOU in 2010</w:t>
      </w:r>
      <w:proofErr w:type="gramStart"/>
      <w:r>
        <w:t xml:space="preserve">. </w:t>
      </w:r>
      <w:r w:rsidR="00250C89">
        <w:t xml:space="preserve"> </w:t>
      </w:r>
      <w:proofErr w:type="gramEnd"/>
      <w:r>
        <w:t>As such, there is no real empirical data on how customers will respond in these periods</w:t>
      </w:r>
      <w:r w:rsidR="00EF13AE">
        <w:t>,</w:t>
      </w:r>
      <w:r>
        <w:t xml:space="preserve"> which vary</w:t>
      </w:r>
      <w:r w:rsidR="002844CF">
        <w:t> </w:t>
      </w:r>
      <w:r>
        <w:t xml:space="preserve">significantly in terms of weather conditions and event window hours.   </w:t>
      </w:r>
    </w:p>
    <w:p w:rsidR="006A7080" w:rsidRDefault="006A7080" w:rsidP="006A7080">
      <w:pPr>
        <w:pStyle w:val="BodyParagraph"/>
      </w:pPr>
      <w:r w:rsidRPr="00135AA2">
        <w:t>In aggregate, the load reductions are largest in the Greater Ba</w:t>
      </w:r>
      <w:r>
        <w:t>y Area and Other LCAs</w:t>
      </w:r>
      <w:proofErr w:type="gramStart"/>
      <w:r>
        <w:t xml:space="preserve">.  </w:t>
      </w:r>
      <w:proofErr w:type="gramEnd"/>
      <w:r>
        <w:t>The</w:t>
      </w:r>
      <w:r w:rsidR="00EF13AE">
        <w:t> </w:t>
      </w:r>
      <w:r>
        <w:t>2015</w:t>
      </w:r>
      <w:r w:rsidRPr="00135AA2">
        <w:t xml:space="preserve"> enrol</w:t>
      </w:r>
      <w:r>
        <w:t>lment forecast shows 45</w:t>
      </w:r>
      <w:r w:rsidRPr="00135AA2">
        <w:t>% of enrollments located in the Greater Bay Area L</w:t>
      </w:r>
      <w:r w:rsidR="00143965">
        <w:t>C</w:t>
      </w:r>
      <w:r w:rsidRPr="00135AA2">
        <w:t>A</w:t>
      </w:r>
      <w:r w:rsidR="00EF13AE">
        <w:t>; </w:t>
      </w:r>
      <w:r w:rsidRPr="00135AA2">
        <w:t xml:space="preserve">and 20% </w:t>
      </w:r>
      <w:r w:rsidR="00EF13AE">
        <w:t xml:space="preserve">are </w:t>
      </w:r>
      <w:r w:rsidRPr="00135AA2">
        <w:t xml:space="preserve">located outside of the primary LCAs and </w:t>
      </w:r>
      <w:r w:rsidR="00EF13AE">
        <w:t xml:space="preserve">are </w:t>
      </w:r>
      <w:r w:rsidRPr="00135AA2">
        <w:t>classified as Other</w:t>
      </w:r>
      <w:proofErr w:type="gramStart"/>
      <w:r w:rsidRPr="00135AA2">
        <w:t xml:space="preserve">.  </w:t>
      </w:r>
      <w:proofErr w:type="gramEnd"/>
      <w:r w:rsidRPr="00135AA2">
        <w:t>Greater Bay Ar</w:t>
      </w:r>
      <w:r>
        <w:t xml:space="preserve">ea CPP </w:t>
      </w:r>
      <w:r w:rsidR="00143965">
        <w:t xml:space="preserve">participants </w:t>
      </w:r>
      <w:r w:rsidR="00016D6E">
        <w:t>delivered 24</w:t>
      </w:r>
      <w:r>
        <w:t>% of the program’s ex ante</w:t>
      </w:r>
      <w:r w:rsidRPr="00135AA2">
        <w:t xml:space="preserve"> load reduction on an average event day while customers cla</w:t>
      </w:r>
      <w:r>
        <w:t>ssified as Other LCA provid</w:t>
      </w:r>
      <w:r w:rsidR="00016D6E">
        <w:t>ed 40</w:t>
      </w:r>
      <w:r>
        <w:t>% of aggregate ex ante</w:t>
      </w:r>
      <w:r w:rsidR="00EF13AE">
        <w:t> </w:t>
      </w:r>
      <w:r w:rsidRPr="00135AA2">
        <w:t>impact</w:t>
      </w:r>
      <w:r>
        <w:t>s despite only accounting for 20</w:t>
      </w:r>
      <w:r w:rsidRPr="00135AA2">
        <w:t>% of the total population</w:t>
      </w:r>
      <w:proofErr w:type="gramStart"/>
      <w:r w:rsidRPr="00135AA2">
        <w:t>.</w:t>
      </w:r>
      <w:r>
        <w:t xml:space="preserve">  </w:t>
      </w:r>
      <w:proofErr w:type="gramEnd"/>
      <w:r>
        <w:t>This pattern is similar to</w:t>
      </w:r>
      <w:r w:rsidR="00EF13AE">
        <w:t> </w:t>
      </w:r>
      <w:r>
        <w:t>that observed in 2014 and 2013 ex post evaluations.</w:t>
      </w:r>
    </w:p>
    <w:p w:rsidR="006A7080" w:rsidRPr="00DA0B27" w:rsidRDefault="006A7080" w:rsidP="006A7080">
      <w:pPr>
        <w:pStyle w:val="TableFigureCaption"/>
        <w:spacing w:after="0"/>
      </w:pPr>
      <w:bookmarkStart w:id="150" w:name="_Toc289178033"/>
      <w:bookmarkStart w:id="151" w:name="_Toc326072133"/>
      <w:r>
        <w:lastRenderedPageBreak/>
        <w:t>Table 5-5</w:t>
      </w:r>
      <w:r w:rsidRPr="00DA0B27">
        <w:t>:</w:t>
      </w:r>
      <w:r w:rsidR="002844CF">
        <w:t xml:space="preserve"> </w:t>
      </w:r>
      <w:r w:rsidRPr="00DA0B27">
        <w:t xml:space="preserve">Aggregate </w:t>
      </w:r>
      <w:r>
        <w:t>PG&amp;E</w:t>
      </w:r>
      <w:r w:rsidRPr="00DA0B27">
        <w:t xml:space="preserve"> </w:t>
      </w:r>
      <w:proofErr w:type="gramStart"/>
      <w:r w:rsidRPr="00DA0B27">
        <w:t>Ex</w:t>
      </w:r>
      <w:proofErr w:type="gramEnd"/>
      <w:r w:rsidRPr="00DA0B27">
        <w:t xml:space="preserve"> Ante Load Impact Estimates by LCA</w:t>
      </w:r>
    </w:p>
    <w:p w:rsidR="006A7080" w:rsidRDefault="006A7080" w:rsidP="006A7080">
      <w:pPr>
        <w:pStyle w:val="TableFigureCaption"/>
      </w:pPr>
      <w:r>
        <w:t xml:space="preserve">Large C&amp;I </w:t>
      </w:r>
      <w:r w:rsidR="00112253">
        <w:t>2015</w:t>
      </w:r>
      <w:r w:rsidRPr="00DA0B27">
        <w:t xml:space="preserve"> Monthly System Peak Days</w:t>
      </w:r>
      <w:r>
        <w:t>, PG&amp;E Weather Scenarios</w:t>
      </w:r>
      <w:r>
        <w:rPr>
          <w:rStyle w:val="FootnoteReference"/>
        </w:rPr>
        <w:footnoteReference w:id="20"/>
      </w:r>
      <w:r w:rsidRPr="00DA0B27">
        <w:t xml:space="preserve"> </w:t>
      </w:r>
    </w:p>
    <w:tbl>
      <w:tblPr>
        <w:tblW w:w="10299" w:type="dxa"/>
        <w:jc w:val="center"/>
        <w:tblInd w:w="93" w:type="dxa"/>
        <w:tblLook w:val="04A0" w:firstRow="1" w:lastRow="0" w:firstColumn="1" w:lastColumn="0" w:noHBand="0" w:noVBand="1"/>
      </w:tblPr>
      <w:tblGrid>
        <w:gridCol w:w="1006"/>
        <w:gridCol w:w="1896"/>
        <w:gridCol w:w="620"/>
        <w:gridCol w:w="628"/>
        <w:gridCol w:w="628"/>
        <w:gridCol w:w="620"/>
        <w:gridCol w:w="620"/>
        <w:gridCol w:w="628"/>
        <w:gridCol w:w="620"/>
        <w:gridCol w:w="661"/>
        <w:gridCol w:w="639"/>
        <w:gridCol w:w="620"/>
        <w:gridCol w:w="650"/>
        <w:gridCol w:w="639"/>
      </w:tblGrid>
      <w:tr w:rsidR="00016D6E" w:rsidRPr="00016D6E" w:rsidTr="00750605">
        <w:trPr>
          <w:trHeight w:val="510"/>
          <w:jc w:val="center"/>
        </w:trPr>
        <w:tc>
          <w:tcPr>
            <w:tcW w:w="830"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bookmarkStart w:id="152" w:name="_Toc412650602"/>
            <w:bookmarkStart w:id="153" w:name="_Toc350845369"/>
            <w:bookmarkStart w:id="154" w:name="_Toc352323657"/>
            <w:r w:rsidRPr="00016D6E">
              <w:rPr>
                <w:rFonts w:ascii="Arial" w:eastAsia="Times New Roman" w:hAnsi="Arial" w:cs="Arial"/>
                <w:b/>
                <w:bCs/>
                <w:color w:val="FFFFFF"/>
                <w:sz w:val="20"/>
                <w:szCs w:val="20"/>
              </w:rPr>
              <w:t>Weather Year</w:t>
            </w:r>
          </w:p>
        </w:tc>
        <w:tc>
          <w:tcPr>
            <w:tcW w:w="1896"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Local Capacity Area</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Jan.</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Feb.</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Mar.</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Apr.</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May</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Jun.</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Jul.</w:t>
            </w:r>
          </w:p>
        </w:tc>
        <w:tc>
          <w:tcPr>
            <w:tcW w:w="661"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Aug.</w:t>
            </w:r>
          </w:p>
        </w:tc>
        <w:tc>
          <w:tcPr>
            <w:tcW w:w="639"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Sep.</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Oct.</w:t>
            </w:r>
          </w:p>
        </w:tc>
        <w:tc>
          <w:tcPr>
            <w:tcW w:w="650" w:type="dxa"/>
            <w:tcBorders>
              <w:top w:val="single" w:sz="4" w:space="0" w:color="000000"/>
              <w:left w:val="nil"/>
              <w:bottom w:val="single" w:sz="4" w:space="0" w:color="FFFFFF"/>
              <w:right w:val="single" w:sz="4" w:space="0" w:color="FFFFFF"/>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Nov.</w:t>
            </w:r>
          </w:p>
        </w:tc>
        <w:tc>
          <w:tcPr>
            <w:tcW w:w="639" w:type="dxa"/>
            <w:tcBorders>
              <w:top w:val="single" w:sz="4" w:space="0" w:color="000000"/>
              <w:left w:val="nil"/>
              <w:bottom w:val="single" w:sz="4" w:space="0" w:color="FFFFFF"/>
              <w:right w:val="single" w:sz="4" w:space="0" w:color="000000"/>
            </w:tcBorders>
            <w:shd w:val="clear" w:color="000000" w:fill="0070D0"/>
            <w:vAlign w:val="center"/>
            <w:hideMark/>
          </w:tcPr>
          <w:p w:rsidR="00016D6E" w:rsidRPr="00016D6E" w:rsidRDefault="00016D6E" w:rsidP="00750605">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Dec.</w:t>
            </w:r>
          </w:p>
        </w:tc>
      </w:tr>
      <w:tr w:rsidR="00016D6E" w:rsidRPr="00016D6E" w:rsidTr="00750605">
        <w:trPr>
          <w:trHeight w:val="585"/>
          <w:jc w:val="center"/>
        </w:trPr>
        <w:tc>
          <w:tcPr>
            <w:tcW w:w="830" w:type="dxa"/>
            <w:vMerge/>
            <w:tcBorders>
              <w:top w:val="single" w:sz="4" w:space="0" w:color="000000"/>
              <w:left w:val="single" w:sz="4" w:space="0" w:color="000000"/>
              <w:bottom w:val="single" w:sz="4" w:space="0" w:color="000000"/>
              <w:right w:val="single" w:sz="4" w:space="0" w:color="FFFFFF"/>
            </w:tcBorders>
            <w:vAlign w:val="center"/>
            <w:hideMark/>
          </w:tcPr>
          <w:p w:rsidR="00016D6E" w:rsidRPr="00016D6E" w:rsidRDefault="00016D6E" w:rsidP="00750605">
            <w:pPr>
              <w:spacing w:before="60" w:after="60" w:line="240" w:lineRule="auto"/>
              <w:rPr>
                <w:rFonts w:ascii="Arial" w:eastAsia="Times New Roman" w:hAnsi="Arial" w:cs="Arial"/>
                <w:b/>
                <w:bCs/>
                <w:color w:val="FFFFFF"/>
                <w:sz w:val="20"/>
                <w:szCs w:val="20"/>
              </w:rPr>
            </w:pPr>
          </w:p>
        </w:tc>
        <w:tc>
          <w:tcPr>
            <w:tcW w:w="1896" w:type="dxa"/>
            <w:vMerge/>
            <w:tcBorders>
              <w:top w:val="single" w:sz="4" w:space="0" w:color="000000"/>
              <w:left w:val="single" w:sz="4" w:space="0" w:color="FFFFFF"/>
              <w:bottom w:val="single" w:sz="4" w:space="0" w:color="000000"/>
              <w:right w:val="single" w:sz="4" w:space="0" w:color="FFFFFF"/>
            </w:tcBorders>
            <w:vAlign w:val="center"/>
            <w:hideMark/>
          </w:tcPr>
          <w:p w:rsidR="00016D6E" w:rsidRPr="00016D6E" w:rsidRDefault="00016D6E" w:rsidP="00750605">
            <w:pPr>
              <w:spacing w:before="60" w:after="60" w:line="240" w:lineRule="auto"/>
              <w:rPr>
                <w:rFonts w:ascii="Arial" w:eastAsia="Times New Roman" w:hAnsi="Arial" w:cs="Arial"/>
                <w:b/>
                <w:bCs/>
                <w:color w:val="FFFFFF"/>
                <w:sz w:val="20"/>
                <w:szCs w:val="20"/>
              </w:rPr>
            </w:pPr>
          </w:p>
        </w:tc>
        <w:tc>
          <w:tcPr>
            <w:tcW w:w="2496" w:type="dxa"/>
            <w:gridSpan w:val="4"/>
            <w:tcBorders>
              <w:top w:val="single" w:sz="4" w:space="0" w:color="FFFFFF"/>
              <w:left w:val="nil"/>
              <w:bottom w:val="single" w:sz="4" w:space="0" w:color="000000"/>
              <w:right w:val="single" w:sz="4" w:space="0" w:color="FFFFFF"/>
            </w:tcBorders>
            <w:shd w:val="clear" w:color="000000" w:fill="0070D0"/>
            <w:vAlign w:val="center"/>
            <w:hideMark/>
          </w:tcPr>
          <w:p w:rsidR="00016D6E" w:rsidRPr="00016D6E" w:rsidRDefault="00016D6E" w:rsidP="00744453">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4</w:t>
            </w:r>
            <w:r w:rsidR="00744453">
              <w:rPr>
                <w:rFonts w:ascii="Arial" w:eastAsia="Times New Roman" w:hAnsi="Arial" w:cs="Arial"/>
                <w:b/>
                <w:bCs/>
                <w:color w:val="FFFFFF"/>
                <w:sz w:val="20"/>
                <w:szCs w:val="20"/>
              </w:rPr>
              <w:t xml:space="preserve"> to </w:t>
            </w:r>
            <w:r w:rsidRPr="00016D6E">
              <w:rPr>
                <w:rFonts w:ascii="Arial" w:eastAsia="Times New Roman" w:hAnsi="Arial" w:cs="Arial"/>
                <w:b/>
                <w:bCs/>
                <w:color w:val="FFFFFF"/>
                <w:sz w:val="20"/>
                <w:szCs w:val="20"/>
              </w:rPr>
              <w:t xml:space="preserve">9 </w:t>
            </w:r>
            <w:r w:rsidR="00744453">
              <w:rPr>
                <w:rFonts w:ascii="Arial" w:eastAsia="Times New Roman" w:hAnsi="Arial" w:cs="Arial"/>
                <w:b/>
                <w:bCs/>
                <w:color w:val="FFFFFF"/>
                <w:sz w:val="20"/>
                <w:szCs w:val="20"/>
              </w:rPr>
              <w:t>PM</w:t>
            </w:r>
            <w:r w:rsidRPr="00016D6E">
              <w:rPr>
                <w:rFonts w:ascii="Arial" w:eastAsia="Times New Roman" w:hAnsi="Arial" w:cs="Arial"/>
                <w:b/>
                <w:bCs/>
                <w:color w:val="FFFFFF"/>
                <w:sz w:val="20"/>
                <w:szCs w:val="20"/>
              </w:rPr>
              <w:t xml:space="preserve"> Resource Adequacy Window</w:t>
            </w:r>
          </w:p>
        </w:tc>
        <w:tc>
          <w:tcPr>
            <w:tcW w:w="3788" w:type="dxa"/>
            <w:gridSpan w:val="6"/>
            <w:tcBorders>
              <w:top w:val="single" w:sz="4" w:space="0" w:color="FFFFFF"/>
              <w:left w:val="nil"/>
              <w:bottom w:val="single" w:sz="4" w:space="0" w:color="000000"/>
              <w:right w:val="single" w:sz="4" w:space="0" w:color="FFFFFF"/>
            </w:tcBorders>
            <w:shd w:val="clear" w:color="000000" w:fill="0070D0"/>
            <w:vAlign w:val="center"/>
            <w:hideMark/>
          </w:tcPr>
          <w:p w:rsidR="00016D6E" w:rsidRPr="00016D6E" w:rsidRDefault="00016D6E" w:rsidP="00744453">
            <w:pPr>
              <w:spacing w:before="60" w:after="60" w:line="240" w:lineRule="auto"/>
              <w:jc w:val="center"/>
              <w:rPr>
                <w:rFonts w:ascii="Arial" w:eastAsia="Times New Roman" w:hAnsi="Arial" w:cs="Arial"/>
                <w:b/>
                <w:bCs/>
                <w:color w:val="FFFFFF"/>
                <w:sz w:val="20"/>
                <w:szCs w:val="20"/>
              </w:rPr>
            </w:pPr>
            <w:r w:rsidRPr="00016D6E">
              <w:rPr>
                <w:rFonts w:ascii="Arial" w:eastAsia="Times New Roman" w:hAnsi="Arial" w:cs="Arial"/>
                <w:b/>
                <w:bCs/>
                <w:color w:val="FFFFFF"/>
                <w:sz w:val="20"/>
                <w:szCs w:val="20"/>
              </w:rPr>
              <w:t>1</w:t>
            </w:r>
            <w:r w:rsidR="00744453">
              <w:rPr>
                <w:rFonts w:ascii="Arial" w:eastAsia="Times New Roman" w:hAnsi="Arial" w:cs="Arial"/>
                <w:b/>
                <w:bCs/>
                <w:color w:val="FFFFFF"/>
                <w:sz w:val="20"/>
                <w:szCs w:val="20"/>
              </w:rPr>
              <w:t xml:space="preserve"> to </w:t>
            </w:r>
            <w:r w:rsidRPr="00016D6E">
              <w:rPr>
                <w:rFonts w:ascii="Arial" w:eastAsia="Times New Roman" w:hAnsi="Arial" w:cs="Arial"/>
                <w:b/>
                <w:bCs/>
                <w:color w:val="FFFFFF"/>
                <w:sz w:val="20"/>
                <w:szCs w:val="20"/>
              </w:rPr>
              <w:t xml:space="preserve">6 </w:t>
            </w:r>
            <w:r w:rsidR="00744453">
              <w:rPr>
                <w:rFonts w:ascii="Arial" w:eastAsia="Times New Roman" w:hAnsi="Arial" w:cs="Arial"/>
                <w:b/>
                <w:bCs/>
                <w:color w:val="FFFFFF"/>
                <w:sz w:val="20"/>
                <w:szCs w:val="20"/>
              </w:rPr>
              <w:t>PM</w:t>
            </w:r>
            <w:r w:rsidRPr="00016D6E">
              <w:rPr>
                <w:rFonts w:ascii="Arial" w:eastAsia="Times New Roman" w:hAnsi="Arial" w:cs="Arial"/>
                <w:b/>
                <w:bCs/>
                <w:color w:val="FFFFFF"/>
                <w:sz w:val="20"/>
                <w:szCs w:val="20"/>
              </w:rPr>
              <w:t xml:space="preserve"> Resource </w:t>
            </w:r>
            <w:r w:rsidR="00744453">
              <w:rPr>
                <w:rFonts w:ascii="Arial" w:eastAsia="Times New Roman" w:hAnsi="Arial" w:cs="Arial"/>
                <w:b/>
                <w:bCs/>
                <w:color w:val="FFFFFF"/>
                <w:sz w:val="20"/>
                <w:szCs w:val="20"/>
              </w:rPr>
              <w:br/>
            </w:r>
            <w:r w:rsidRPr="00016D6E">
              <w:rPr>
                <w:rFonts w:ascii="Arial" w:eastAsia="Times New Roman" w:hAnsi="Arial" w:cs="Arial"/>
                <w:b/>
                <w:bCs/>
                <w:color w:val="FFFFFF"/>
                <w:sz w:val="20"/>
                <w:szCs w:val="20"/>
              </w:rPr>
              <w:t>Adequacy Window</w:t>
            </w:r>
          </w:p>
        </w:tc>
        <w:tc>
          <w:tcPr>
            <w:tcW w:w="1289" w:type="dxa"/>
            <w:gridSpan w:val="2"/>
            <w:tcBorders>
              <w:top w:val="single" w:sz="4" w:space="0" w:color="FFFFFF"/>
              <w:left w:val="nil"/>
              <w:bottom w:val="single" w:sz="4" w:space="0" w:color="000000"/>
              <w:right w:val="single" w:sz="4" w:space="0" w:color="000000"/>
            </w:tcBorders>
            <w:shd w:val="clear" w:color="000000" w:fill="0070D0"/>
            <w:vAlign w:val="center"/>
            <w:hideMark/>
          </w:tcPr>
          <w:p w:rsidR="00016D6E" w:rsidRPr="00016D6E" w:rsidRDefault="00744453" w:rsidP="00744453">
            <w:pPr>
              <w:spacing w:before="60" w:after="6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 xml:space="preserve">4 to </w:t>
            </w:r>
            <w:r w:rsidR="00016D6E" w:rsidRPr="00016D6E">
              <w:rPr>
                <w:rFonts w:ascii="Arial" w:eastAsia="Times New Roman" w:hAnsi="Arial" w:cs="Arial"/>
                <w:b/>
                <w:bCs/>
                <w:color w:val="FFFFFF"/>
                <w:sz w:val="20"/>
                <w:szCs w:val="20"/>
              </w:rPr>
              <w:t xml:space="preserve">9 </w:t>
            </w:r>
            <w:r>
              <w:rPr>
                <w:rFonts w:ascii="Arial" w:eastAsia="Times New Roman" w:hAnsi="Arial" w:cs="Arial"/>
                <w:b/>
                <w:bCs/>
                <w:color w:val="FFFFFF"/>
                <w:sz w:val="20"/>
                <w:szCs w:val="20"/>
              </w:rPr>
              <w:t>PM</w:t>
            </w:r>
          </w:p>
        </w:tc>
      </w:tr>
      <w:tr w:rsidR="00016D6E" w:rsidRPr="00016D6E" w:rsidTr="00750605">
        <w:trPr>
          <w:trHeight w:val="255"/>
          <w:jc w:val="center"/>
        </w:trPr>
        <w:tc>
          <w:tcPr>
            <w:tcW w:w="83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1-in-10</w:t>
            </w: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All</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15.9</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16.1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18.6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28.2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50.4</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52.0</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57.9</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56.3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48.9</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44.4</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22.9</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19.3</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Greater Bay Area</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3.6</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3.6</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10.0</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14.1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13.4</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12.9</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4.6</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3.8</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Greater Fresno</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5.6</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6.6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8.2</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8.3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3.5</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3.5</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2.7</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Humboldt</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1.0</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0.6</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Kern</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8.3</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7.0</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1.5</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Northern Coast</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Other</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9.2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21.9</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20.9</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21.3</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11.6</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10.0</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Sierra</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0.6</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Stockton</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3.9</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4.2</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3.9</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3.3</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1.6</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1.4</w:t>
            </w:r>
          </w:p>
        </w:tc>
      </w:tr>
      <w:tr w:rsidR="00016D6E" w:rsidRPr="00016D6E" w:rsidTr="00750605">
        <w:trPr>
          <w:trHeight w:val="255"/>
          <w:jc w:val="center"/>
        </w:trPr>
        <w:tc>
          <w:tcPr>
            <w:tcW w:w="83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1-in-2</w:t>
            </w: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All</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16.1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16.2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18.2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23.8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40.8</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51.1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51.2</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51.0</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49.2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41.1</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22.2</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19.8</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Greater Bay Area</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3.6</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12.1</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11.3</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4.0</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Greater Fresno</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3.6</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6.7</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6.7</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3.4</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2.8</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Humboldt</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0.9</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1.0</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0.9</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Kern</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5.7</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5.2</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1.5</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Northern Coast</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0.4</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Other</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7.8</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7.7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9.0</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11.7</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19.7</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20.4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21.0</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20.3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21.1</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20.1</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10.2</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Sierra</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0.6</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1.3</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0.6</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0.5</w:t>
            </w:r>
          </w:p>
        </w:tc>
      </w:tr>
      <w:tr w:rsidR="00016D6E" w:rsidRPr="00016D6E" w:rsidTr="00750605">
        <w:trPr>
          <w:trHeight w:val="255"/>
          <w:jc w:val="center"/>
        </w:trPr>
        <w:tc>
          <w:tcPr>
            <w:tcW w:w="830" w:type="dxa"/>
            <w:vMerge/>
            <w:tcBorders>
              <w:top w:val="nil"/>
              <w:left w:val="single" w:sz="4" w:space="0" w:color="000000"/>
              <w:bottom w:val="single" w:sz="4" w:space="0" w:color="000000"/>
              <w:right w:val="single" w:sz="4" w:space="0" w:color="000000"/>
            </w:tcBorders>
            <w:vAlign w:val="center"/>
            <w:hideMark/>
          </w:tcPr>
          <w:p w:rsidR="00016D6E" w:rsidRPr="00016D6E" w:rsidRDefault="00016D6E" w:rsidP="00750605">
            <w:pPr>
              <w:spacing w:before="60" w:after="60" w:line="240" w:lineRule="auto"/>
              <w:rPr>
                <w:rFonts w:ascii="Arial" w:eastAsia="Times New Roman" w:hAnsi="Arial" w:cs="Arial"/>
                <w:color w:val="000000"/>
                <w:sz w:val="20"/>
                <w:szCs w:val="20"/>
              </w:rPr>
            </w:pPr>
          </w:p>
        </w:tc>
        <w:tc>
          <w:tcPr>
            <w:tcW w:w="1896"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Stockton</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1.1</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1.2</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2.9</w:t>
            </w:r>
          </w:p>
        </w:tc>
        <w:tc>
          <w:tcPr>
            <w:tcW w:w="628"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3.4</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3.5</w:t>
            </w:r>
          </w:p>
        </w:tc>
        <w:tc>
          <w:tcPr>
            <w:tcW w:w="661"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3.9</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3.8</w:t>
            </w:r>
          </w:p>
        </w:tc>
        <w:tc>
          <w:tcPr>
            <w:tcW w:w="62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3.0</w:t>
            </w:r>
          </w:p>
        </w:tc>
        <w:tc>
          <w:tcPr>
            <w:tcW w:w="650"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1.5</w:t>
            </w:r>
          </w:p>
        </w:tc>
        <w:tc>
          <w:tcPr>
            <w:tcW w:w="639" w:type="dxa"/>
            <w:tcBorders>
              <w:top w:val="nil"/>
              <w:left w:val="nil"/>
              <w:bottom w:val="single" w:sz="4" w:space="0" w:color="000000"/>
              <w:right w:val="single" w:sz="4" w:space="0" w:color="000000"/>
            </w:tcBorders>
            <w:shd w:val="clear" w:color="auto" w:fill="auto"/>
            <w:noWrap/>
            <w:vAlign w:val="center"/>
            <w:hideMark/>
          </w:tcPr>
          <w:p w:rsidR="00016D6E" w:rsidRPr="00016D6E" w:rsidRDefault="00016D6E" w:rsidP="00750605">
            <w:pPr>
              <w:spacing w:before="60" w:after="60" w:line="240" w:lineRule="auto"/>
              <w:jc w:val="center"/>
              <w:rPr>
                <w:rFonts w:ascii="Arial" w:eastAsia="Times New Roman" w:hAnsi="Arial" w:cs="Arial"/>
                <w:color w:val="000000"/>
                <w:sz w:val="20"/>
                <w:szCs w:val="20"/>
              </w:rPr>
            </w:pPr>
            <w:r w:rsidRPr="00016D6E">
              <w:rPr>
                <w:rFonts w:ascii="Arial" w:eastAsia="Times New Roman" w:hAnsi="Arial" w:cs="Arial"/>
                <w:color w:val="000000"/>
                <w:sz w:val="20"/>
                <w:szCs w:val="20"/>
              </w:rPr>
              <w:t>1.4</w:t>
            </w:r>
          </w:p>
        </w:tc>
      </w:tr>
    </w:tbl>
    <w:p w:rsidR="006A7080" w:rsidRPr="009D4ED2" w:rsidRDefault="006A7080" w:rsidP="004C53F1">
      <w:pPr>
        <w:pStyle w:val="Heading3"/>
        <w:spacing w:before="360"/>
      </w:pPr>
      <w:bookmarkStart w:id="155" w:name="_Toc415494774"/>
      <w:r>
        <w:t xml:space="preserve">Comparison of 2013 and 2014 </w:t>
      </w:r>
      <w:r w:rsidRPr="009D4ED2">
        <w:t xml:space="preserve">Ex </w:t>
      </w:r>
      <w:r>
        <w:t>A</w:t>
      </w:r>
      <w:r w:rsidRPr="009D4ED2">
        <w:t>nte Estimates</w:t>
      </w:r>
      <w:bookmarkEnd w:id="152"/>
      <w:bookmarkEnd w:id="155"/>
    </w:p>
    <w:p w:rsidR="006A7080" w:rsidRDefault="006A7080" w:rsidP="006A7080">
      <w:pPr>
        <w:pStyle w:val="BodyParagraph"/>
      </w:pPr>
      <w:r>
        <w:t>Table 5-6</w:t>
      </w:r>
      <w:r w:rsidRPr="005207C2">
        <w:t xml:space="preserve"> compares the </w:t>
      </w:r>
      <w:r w:rsidR="00DD6625">
        <w:t xml:space="preserve">August </w:t>
      </w:r>
      <w:r w:rsidRPr="005207C2">
        <w:t>ex</w:t>
      </w:r>
      <w:r w:rsidR="008A4099">
        <w:t xml:space="preserve"> </w:t>
      </w:r>
      <w:r w:rsidRPr="005207C2">
        <w:t>ante estimates produced for the 20</w:t>
      </w:r>
      <w:r>
        <w:t>13</w:t>
      </w:r>
      <w:r w:rsidRPr="005207C2">
        <w:t xml:space="preserve"> evaluation to those</w:t>
      </w:r>
      <w:r w:rsidR="008A4099">
        <w:t> </w:t>
      </w:r>
      <w:r w:rsidRPr="005207C2">
        <w:t>presented</w:t>
      </w:r>
      <w:r>
        <w:t> in this report</w:t>
      </w:r>
      <w:proofErr w:type="gramStart"/>
      <w:r w:rsidRPr="005207C2">
        <w:t xml:space="preserve">.  </w:t>
      </w:r>
      <w:proofErr w:type="gramEnd"/>
      <w:r>
        <w:t>Because ex ante impacts take into account changes in utility enrollment forecasts, program design and customer mix as well as additional experience, the forecasts are adjusted each year</w:t>
      </w:r>
      <w:proofErr w:type="gramStart"/>
      <w:r>
        <w:t xml:space="preserve">. </w:t>
      </w:r>
      <w:r w:rsidR="008A4099">
        <w:t xml:space="preserve"> </w:t>
      </w:r>
      <w:proofErr w:type="gramEnd"/>
      <w:r>
        <w:t>In general, forecasts a year out are more reliable while forecasts further in the future are less certain.</w:t>
      </w:r>
    </w:p>
    <w:p w:rsidR="006A7080" w:rsidRPr="00AF7A2D" w:rsidRDefault="006A7080" w:rsidP="006A7080">
      <w:pPr>
        <w:pStyle w:val="BodyParagraph"/>
        <w:rPr>
          <w:color w:val="FF0000"/>
        </w:rPr>
      </w:pPr>
      <w:r>
        <w:t>Table 5-6 summarizes the comparison between the prior year’s ex ante estimates and the current es</w:t>
      </w:r>
      <w:r w:rsidR="008A4099">
        <w:t>timates</w:t>
      </w:r>
      <w:proofErr w:type="gramStart"/>
      <w:r>
        <w:t xml:space="preserve">. </w:t>
      </w:r>
      <w:r w:rsidR="008A4099">
        <w:t xml:space="preserve"> </w:t>
      </w:r>
      <w:proofErr w:type="gramEnd"/>
      <w:r>
        <w:t>Notable differences are observed in the enrollment forecasts, which range from 6</w:t>
      </w:r>
      <w:r w:rsidR="00DD6625">
        <w:t>%</w:t>
      </w:r>
      <w:r>
        <w:t xml:space="preserve"> to 21% lower than those produced by PG&amp;E for the 2013 report estimates</w:t>
      </w:r>
      <w:proofErr w:type="gramStart"/>
      <w:r>
        <w:t xml:space="preserve">.  </w:t>
      </w:r>
      <w:proofErr w:type="gramEnd"/>
      <w:r>
        <w:t>This difference is highest in 2015</w:t>
      </w:r>
      <w:proofErr w:type="gramStart"/>
      <w:r>
        <w:t xml:space="preserve">.  </w:t>
      </w:r>
      <w:proofErr w:type="gramEnd"/>
      <w:r>
        <w:t>The adjustment reflects more recent data about the number of</w:t>
      </w:r>
      <w:r w:rsidR="008A4099">
        <w:t> </w:t>
      </w:r>
      <w:r>
        <w:t>customers who will be defaulted onto CPP in the future.</w:t>
      </w:r>
    </w:p>
    <w:p w:rsidR="006A7080" w:rsidRDefault="00DD6625" w:rsidP="006A7080">
      <w:pPr>
        <w:pStyle w:val="BodyParagraph"/>
      </w:pPr>
      <w:r>
        <w:lastRenderedPageBreak/>
        <w:t xml:space="preserve">Notable </w:t>
      </w:r>
      <w:r w:rsidR="006A7080">
        <w:t>difference</w:t>
      </w:r>
      <w:r>
        <w:t>s are</w:t>
      </w:r>
      <w:r w:rsidR="006A7080">
        <w:t xml:space="preserve"> </w:t>
      </w:r>
      <w:r>
        <w:t xml:space="preserve">also </w:t>
      </w:r>
      <w:r w:rsidR="006A7080">
        <w:t>observed in the</w:t>
      </w:r>
      <w:r w:rsidR="009E2C94">
        <w:t xml:space="preserve"> reference loads, </w:t>
      </w:r>
      <w:r w:rsidR="006A7080">
        <w:t>which are roughly 15% higher than those produced in the 2013 report</w:t>
      </w:r>
      <w:proofErr w:type="gramStart"/>
      <w:r w:rsidR="006A7080">
        <w:t xml:space="preserve">.  </w:t>
      </w:r>
      <w:proofErr w:type="gramEnd"/>
      <w:r w:rsidR="009E2C94">
        <w:t>The percent reductions are similar</w:t>
      </w:r>
      <w:proofErr w:type="gramStart"/>
      <w:r w:rsidR="009E2C94">
        <w:t xml:space="preserve">.  </w:t>
      </w:r>
      <w:proofErr w:type="gramEnd"/>
      <w:r w:rsidR="006A7080">
        <w:t xml:space="preserve">The 2014 estimates are driven by percent reductions for persistent default CPP customers that </w:t>
      </w:r>
      <w:r>
        <w:t xml:space="preserve">have </w:t>
      </w:r>
      <w:r w:rsidR="006A7080">
        <w:t>remain</w:t>
      </w:r>
      <w:r>
        <w:t>ed on CPP</w:t>
      </w:r>
      <w:proofErr w:type="gramStart"/>
      <w:r w:rsidR="006A7080">
        <w:t xml:space="preserve">. </w:t>
      </w:r>
      <w:r w:rsidR="008A4099">
        <w:t xml:space="preserve"> </w:t>
      </w:r>
      <w:proofErr w:type="gramEnd"/>
      <w:r w:rsidR="006A7080">
        <w:t xml:space="preserve">These customers deliver larger percent reductions than customers who enroll </w:t>
      </w:r>
      <w:r>
        <w:t xml:space="preserve">and </w:t>
      </w:r>
      <w:r w:rsidR="006A7080">
        <w:t>then drop off the rate, but are more likely to reflect the percent reductions delivered by customers who persist on the rate into the future</w:t>
      </w:r>
      <w:r>
        <w:t xml:space="preserve"> (nonetheless, as noted above, these percent impacts do reflect a 10% de-rating factor)</w:t>
      </w:r>
      <w:proofErr w:type="gramStart"/>
      <w:r w:rsidR="006A7080">
        <w:t xml:space="preserve">.  </w:t>
      </w:r>
      <w:proofErr w:type="gramEnd"/>
      <w:r w:rsidR="009E2C94">
        <w:t>However, percent reductions in the hour from 1</w:t>
      </w:r>
      <w:r w:rsidR="008A4099">
        <w:t xml:space="preserve"> to </w:t>
      </w:r>
      <w:r w:rsidR="009E2C94">
        <w:t>2 PM are near zero in the 2014 analysis, while in the 2013 analysis this hour’s reduction was assumed to be the same as that from 2</w:t>
      </w:r>
      <w:r w:rsidR="008A4099">
        <w:t xml:space="preserve"> to </w:t>
      </w:r>
      <w:r w:rsidR="009E2C94">
        <w:t>3 PM</w:t>
      </w:r>
      <w:proofErr w:type="gramStart"/>
      <w:r w:rsidR="009E2C94">
        <w:t xml:space="preserve">.  </w:t>
      </w:r>
      <w:proofErr w:type="gramEnd"/>
      <w:r w:rsidR="009E2C94">
        <w:t>Percent impacts are lower in 2014 using this new approach</w:t>
      </w:r>
      <w:proofErr w:type="gramStart"/>
      <w:r w:rsidR="009E2C94">
        <w:t xml:space="preserve">.  </w:t>
      </w:r>
      <w:proofErr w:type="gramEnd"/>
      <w:r w:rsidR="006A7080">
        <w:t>The net effect is that this year’s forecast for 2015</w:t>
      </w:r>
      <w:r w:rsidR="009E2C94">
        <w:t xml:space="preserve"> under 1-in-10 year weather conditions is 56.3 MW, which is 21</w:t>
      </w:r>
      <w:r w:rsidR="006A7080">
        <w:t>% lower than last year’s forecast of 70.9 MW, with most of the difference due to changes in PG&amp;E’s enrollment forecasts</w:t>
      </w:r>
      <w:r w:rsidR="009E2C94">
        <w:t>, and some due to lower percent impacts over the RA event window</w:t>
      </w:r>
      <w:proofErr w:type="gramStart"/>
      <w:r w:rsidR="006A7080">
        <w:t xml:space="preserve">.  </w:t>
      </w:r>
      <w:proofErr w:type="gramEnd"/>
      <w:r w:rsidR="006A7080">
        <w:t>Further into the future, the forecast aggregate impact is greater than that from last year</w:t>
      </w:r>
      <w:proofErr w:type="gramStart"/>
      <w:r w:rsidR="006A7080">
        <w:t xml:space="preserve">.  </w:t>
      </w:r>
      <w:proofErr w:type="gramEnd"/>
      <w:r w:rsidR="006A7080">
        <w:t xml:space="preserve">The </w:t>
      </w:r>
      <w:r>
        <w:t xml:space="preserve">aggregate impacts </w:t>
      </w:r>
      <w:r w:rsidR="006A7080">
        <w:t>are greater because the differences in enrollment are reduced</w:t>
      </w:r>
      <w:r w:rsidR="00FC51AD">
        <w:t>.</w:t>
      </w:r>
    </w:p>
    <w:p w:rsidR="006A7080" w:rsidRPr="009C1B85" w:rsidRDefault="006A7080" w:rsidP="006A7080">
      <w:pPr>
        <w:pStyle w:val="TableFigureCaption"/>
      </w:pPr>
      <w:r>
        <w:t>Table 5-6</w:t>
      </w:r>
      <w:r w:rsidRPr="009C1B85">
        <w:t xml:space="preserve">: Comparison of </w:t>
      </w:r>
      <w:r w:rsidR="004C53F1">
        <w:t xml:space="preserve">Large C&amp;I </w:t>
      </w:r>
      <w:r w:rsidR="00DD6625">
        <w:t xml:space="preserve">August </w:t>
      </w:r>
      <w:r w:rsidRPr="009C1B85">
        <w:t>Ex</w:t>
      </w:r>
      <w:r w:rsidR="003F5210">
        <w:t xml:space="preserve"> A</w:t>
      </w:r>
      <w:r w:rsidRPr="009C1B85">
        <w:t>nte Estimates to Prior Year Estimates</w:t>
      </w:r>
    </w:p>
    <w:tbl>
      <w:tblPr>
        <w:tblW w:w="10886" w:type="dxa"/>
        <w:jc w:val="center"/>
        <w:tblInd w:w="93" w:type="dxa"/>
        <w:tblLook w:val="04A0" w:firstRow="1" w:lastRow="0" w:firstColumn="1" w:lastColumn="0" w:noHBand="0" w:noVBand="1"/>
      </w:tblPr>
      <w:tblGrid>
        <w:gridCol w:w="927"/>
        <w:gridCol w:w="1119"/>
        <w:gridCol w:w="1067"/>
        <w:gridCol w:w="1067"/>
        <w:gridCol w:w="1067"/>
        <w:gridCol w:w="1067"/>
        <w:gridCol w:w="1067"/>
        <w:gridCol w:w="1067"/>
        <w:gridCol w:w="1264"/>
        <w:gridCol w:w="1174"/>
      </w:tblGrid>
      <w:tr w:rsidR="009E2C94" w:rsidRPr="009E2C94" w:rsidTr="00744453">
        <w:trPr>
          <w:trHeight w:val="510"/>
          <w:jc w:val="center"/>
        </w:trPr>
        <w:tc>
          <w:tcPr>
            <w:tcW w:w="927"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Weather Year</w:t>
            </w:r>
          </w:p>
        </w:tc>
        <w:tc>
          <w:tcPr>
            <w:tcW w:w="1119"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Year</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Accounts</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Reference Loads (MW)</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Percent Reductions</w:t>
            </w:r>
          </w:p>
        </w:tc>
        <w:tc>
          <w:tcPr>
            <w:tcW w:w="2438" w:type="dxa"/>
            <w:gridSpan w:val="2"/>
            <w:tcBorders>
              <w:top w:val="single" w:sz="4" w:space="0" w:color="000000"/>
              <w:left w:val="nil"/>
              <w:bottom w:val="single" w:sz="4" w:space="0" w:color="FFFFFF"/>
              <w:right w:val="single" w:sz="4" w:space="0" w:color="000000"/>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Aggregate Impacts (MW)</w:t>
            </w:r>
          </w:p>
        </w:tc>
      </w:tr>
      <w:tr w:rsidR="009E2C94" w:rsidRPr="009E2C94" w:rsidTr="00744453">
        <w:trPr>
          <w:trHeight w:val="692"/>
          <w:jc w:val="center"/>
        </w:trPr>
        <w:tc>
          <w:tcPr>
            <w:tcW w:w="927" w:type="dxa"/>
            <w:vMerge/>
            <w:tcBorders>
              <w:top w:val="single" w:sz="4" w:space="0" w:color="000000"/>
              <w:left w:val="single" w:sz="4" w:space="0" w:color="000000"/>
              <w:bottom w:val="single" w:sz="4" w:space="0" w:color="000000"/>
              <w:right w:val="single" w:sz="4" w:space="0" w:color="FFFFFF"/>
            </w:tcBorders>
            <w:vAlign w:val="center"/>
            <w:hideMark/>
          </w:tcPr>
          <w:p w:rsidR="009E2C94" w:rsidRPr="009E2C94" w:rsidRDefault="009E2C94" w:rsidP="00750605">
            <w:pPr>
              <w:spacing w:before="60" w:after="60" w:line="240" w:lineRule="auto"/>
              <w:rPr>
                <w:rFonts w:ascii="Arial" w:eastAsia="Times New Roman" w:hAnsi="Arial" w:cs="Arial"/>
                <w:b/>
                <w:bCs/>
                <w:color w:val="FFFFFF"/>
                <w:sz w:val="18"/>
                <w:szCs w:val="18"/>
              </w:rPr>
            </w:pPr>
          </w:p>
        </w:tc>
        <w:tc>
          <w:tcPr>
            <w:tcW w:w="1119" w:type="dxa"/>
            <w:vMerge/>
            <w:tcBorders>
              <w:top w:val="single" w:sz="4" w:space="0" w:color="000000"/>
              <w:left w:val="single" w:sz="4" w:space="0" w:color="FFFFFF"/>
              <w:bottom w:val="single" w:sz="4" w:space="0" w:color="000000"/>
              <w:right w:val="single" w:sz="4" w:space="0" w:color="FFFFFF"/>
            </w:tcBorders>
            <w:vAlign w:val="center"/>
            <w:hideMark/>
          </w:tcPr>
          <w:p w:rsidR="009E2C94" w:rsidRPr="009E2C94" w:rsidRDefault="009E2C94" w:rsidP="00750605">
            <w:pPr>
              <w:spacing w:before="60" w:after="60" w:line="240" w:lineRule="auto"/>
              <w:rPr>
                <w:rFonts w:ascii="Arial" w:eastAsia="Times New Roman" w:hAnsi="Arial" w:cs="Arial"/>
                <w:b/>
                <w:bCs/>
                <w:color w:val="FFFFFF"/>
                <w:sz w:val="18"/>
                <w:szCs w:val="18"/>
              </w:rPr>
            </w:pP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2013 Estimates</w:t>
            </w: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2013 Estimates</w:t>
            </w:r>
          </w:p>
        </w:tc>
        <w:tc>
          <w:tcPr>
            <w:tcW w:w="1067"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2014 Estimates</w:t>
            </w:r>
          </w:p>
        </w:tc>
        <w:tc>
          <w:tcPr>
            <w:tcW w:w="1264" w:type="dxa"/>
            <w:tcBorders>
              <w:top w:val="nil"/>
              <w:left w:val="nil"/>
              <w:bottom w:val="single" w:sz="4" w:space="0" w:color="auto"/>
              <w:right w:val="single" w:sz="4" w:space="0" w:color="FFFFFF"/>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2013 Load Impact (MW)</w:t>
            </w:r>
          </w:p>
        </w:tc>
        <w:tc>
          <w:tcPr>
            <w:tcW w:w="1174" w:type="dxa"/>
            <w:tcBorders>
              <w:top w:val="nil"/>
              <w:left w:val="nil"/>
              <w:bottom w:val="single" w:sz="4" w:space="0" w:color="auto"/>
              <w:right w:val="single" w:sz="4" w:space="0" w:color="000000"/>
            </w:tcBorders>
            <w:shd w:val="clear" w:color="000000" w:fill="0070D0"/>
            <w:vAlign w:val="center"/>
            <w:hideMark/>
          </w:tcPr>
          <w:p w:rsidR="009E2C94" w:rsidRPr="009E2C94" w:rsidRDefault="009E2C94" w:rsidP="00750605">
            <w:pPr>
              <w:spacing w:before="60" w:after="60" w:line="240" w:lineRule="auto"/>
              <w:jc w:val="center"/>
              <w:rPr>
                <w:rFonts w:ascii="Arial" w:eastAsia="Times New Roman" w:hAnsi="Arial" w:cs="Arial"/>
                <w:b/>
                <w:bCs/>
                <w:color w:val="FFFFFF"/>
                <w:sz w:val="18"/>
                <w:szCs w:val="18"/>
              </w:rPr>
            </w:pPr>
            <w:r w:rsidRPr="009E2C94">
              <w:rPr>
                <w:rFonts w:ascii="Arial" w:eastAsia="Times New Roman" w:hAnsi="Arial" w:cs="Arial"/>
                <w:b/>
                <w:bCs/>
                <w:color w:val="FFFFFF"/>
                <w:sz w:val="18"/>
                <w:szCs w:val="18"/>
              </w:rPr>
              <w:t>2014 Load Impact (MW)</w:t>
            </w:r>
          </w:p>
        </w:tc>
      </w:tr>
      <w:tr w:rsidR="009E2C94" w:rsidRPr="009E2C94" w:rsidTr="00744453">
        <w:trPr>
          <w:trHeight w:val="360"/>
          <w:jc w:val="center"/>
        </w:trPr>
        <w:tc>
          <w:tcPr>
            <w:tcW w:w="927" w:type="dxa"/>
            <w:vMerge w:val="restart"/>
            <w:tcBorders>
              <w:top w:val="nil"/>
              <w:left w:val="single" w:sz="4" w:space="0" w:color="auto"/>
              <w:bottom w:val="nil"/>
              <w:right w:val="single" w:sz="4" w:space="0" w:color="auto"/>
            </w:tcBorders>
            <w:shd w:val="clear" w:color="auto" w:fill="auto"/>
            <w:noWrap/>
            <w:vAlign w:val="center"/>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1-in-10</w:t>
            </w: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2015</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2,657</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2,092</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318.8</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336.8</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8.0%</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70.9</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56.3</w:t>
            </w:r>
          </w:p>
        </w:tc>
      </w:tr>
      <w:tr w:rsidR="009E2C94" w:rsidRPr="009E2C94" w:rsidTr="00744453">
        <w:trPr>
          <w:trHeight w:val="360"/>
          <w:jc w:val="center"/>
        </w:trPr>
        <w:tc>
          <w:tcPr>
            <w:tcW w:w="927" w:type="dxa"/>
            <w:vMerge/>
            <w:tcBorders>
              <w:top w:val="nil"/>
              <w:left w:val="single" w:sz="4" w:space="0" w:color="auto"/>
              <w:bottom w:val="nil"/>
              <w:right w:val="single" w:sz="4" w:space="0" w:color="auto"/>
            </w:tcBorders>
            <w:vAlign w:val="center"/>
            <w:hideMark/>
          </w:tcPr>
          <w:p w:rsidR="009E2C94" w:rsidRPr="009E2C94" w:rsidRDefault="009E2C94" w:rsidP="00750605">
            <w:pPr>
              <w:spacing w:before="60" w:after="60" w:line="240" w:lineRule="auto"/>
              <w:rPr>
                <w:rFonts w:ascii="Arial" w:eastAsia="Times New Roman" w:hAnsi="Arial" w:cs="Arial"/>
                <w:color w:val="000000"/>
                <w:sz w:val="18"/>
                <w:szCs w:val="18"/>
              </w:rPr>
            </w:pP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2016</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2,781</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2,594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318.7</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335.5</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8.3%</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8.1%</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73.7</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70.9</w:t>
            </w:r>
          </w:p>
        </w:tc>
      </w:tr>
      <w:tr w:rsidR="009E2C94" w:rsidRPr="009E2C94" w:rsidTr="00744453">
        <w:trPr>
          <w:trHeight w:val="360"/>
          <w:jc w:val="center"/>
        </w:trPr>
        <w:tc>
          <w:tcPr>
            <w:tcW w:w="927" w:type="dxa"/>
            <w:vMerge/>
            <w:tcBorders>
              <w:top w:val="nil"/>
              <w:left w:val="single" w:sz="4" w:space="0" w:color="auto"/>
              <w:bottom w:val="nil"/>
              <w:right w:val="single" w:sz="4" w:space="0" w:color="auto"/>
            </w:tcBorders>
            <w:vAlign w:val="center"/>
            <w:hideMark/>
          </w:tcPr>
          <w:p w:rsidR="009E2C94" w:rsidRPr="009E2C94" w:rsidRDefault="009E2C94" w:rsidP="00750605">
            <w:pPr>
              <w:spacing w:before="60" w:after="60" w:line="240" w:lineRule="auto"/>
              <w:rPr>
                <w:rFonts w:ascii="Arial" w:eastAsia="Times New Roman" w:hAnsi="Arial" w:cs="Arial"/>
                <w:color w:val="000000"/>
                <w:sz w:val="18"/>
                <w:szCs w:val="18"/>
              </w:rPr>
            </w:pP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2017-2024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2,783</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2,624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318.7</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335.7</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8.3%</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8.1%</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73.7</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71.8</w:t>
            </w:r>
          </w:p>
        </w:tc>
      </w:tr>
      <w:tr w:rsidR="009E2C94" w:rsidRPr="009E2C94" w:rsidTr="00744453">
        <w:trPr>
          <w:trHeight w:val="360"/>
          <w:jc w:val="center"/>
        </w:trPr>
        <w:tc>
          <w:tcPr>
            <w:tcW w:w="92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1-in-2</w:t>
            </w: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2015</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2,657</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2,092</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305.2</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323.6</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7.6%</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7.5%</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61.3</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51.0</w:t>
            </w:r>
          </w:p>
        </w:tc>
      </w:tr>
      <w:tr w:rsidR="009E2C94" w:rsidRPr="009E2C94" w:rsidTr="00744453">
        <w:trPr>
          <w:trHeight w:val="360"/>
          <w:jc w:val="center"/>
        </w:trPr>
        <w:tc>
          <w:tcPr>
            <w:tcW w:w="927" w:type="dxa"/>
            <w:vMerge/>
            <w:tcBorders>
              <w:top w:val="single" w:sz="4" w:space="0" w:color="auto"/>
              <w:left w:val="single" w:sz="4" w:space="0" w:color="auto"/>
              <w:bottom w:val="single" w:sz="4" w:space="0" w:color="000000"/>
              <w:right w:val="single" w:sz="4" w:space="0" w:color="auto"/>
            </w:tcBorders>
            <w:vAlign w:val="center"/>
            <w:hideMark/>
          </w:tcPr>
          <w:p w:rsidR="009E2C94" w:rsidRPr="009E2C94" w:rsidRDefault="009E2C94" w:rsidP="00750605">
            <w:pPr>
              <w:spacing w:before="60" w:after="60" w:line="240" w:lineRule="auto"/>
              <w:rPr>
                <w:rFonts w:ascii="Arial" w:eastAsia="Times New Roman" w:hAnsi="Arial" w:cs="Arial"/>
                <w:color w:val="000000"/>
                <w:sz w:val="18"/>
                <w:szCs w:val="18"/>
              </w:rPr>
            </w:pP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2016</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2,781</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2,594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305.2</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322.4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7.5%</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7.7%</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63.8</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64.0</w:t>
            </w:r>
          </w:p>
        </w:tc>
      </w:tr>
      <w:tr w:rsidR="009E2C94" w:rsidRPr="009E2C94" w:rsidTr="00744453">
        <w:trPr>
          <w:trHeight w:val="360"/>
          <w:jc w:val="center"/>
        </w:trPr>
        <w:tc>
          <w:tcPr>
            <w:tcW w:w="927" w:type="dxa"/>
            <w:vMerge/>
            <w:tcBorders>
              <w:top w:val="single" w:sz="4" w:space="0" w:color="auto"/>
              <w:left w:val="single" w:sz="4" w:space="0" w:color="auto"/>
              <w:bottom w:val="single" w:sz="4" w:space="0" w:color="000000"/>
              <w:right w:val="single" w:sz="4" w:space="0" w:color="auto"/>
            </w:tcBorders>
            <w:vAlign w:val="center"/>
            <w:hideMark/>
          </w:tcPr>
          <w:p w:rsidR="009E2C94" w:rsidRPr="009E2C94" w:rsidRDefault="009E2C94" w:rsidP="00750605">
            <w:pPr>
              <w:spacing w:before="60" w:after="60" w:line="240" w:lineRule="auto"/>
              <w:rPr>
                <w:rFonts w:ascii="Arial" w:eastAsia="Times New Roman" w:hAnsi="Arial" w:cs="Arial"/>
                <w:color w:val="000000"/>
                <w:sz w:val="18"/>
                <w:szCs w:val="18"/>
              </w:rPr>
            </w:pPr>
          </w:p>
        </w:tc>
        <w:tc>
          <w:tcPr>
            <w:tcW w:w="1119"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2017-2024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2,783</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2,624</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305.2</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322.6</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7.5%</w:t>
            </w:r>
          </w:p>
        </w:tc>
        <w:tc>
          <w:tcPr>
            <w:tcW w:w="1067"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7.7%</w:t>
            </w:r>
          </w:p>
        </w:tc>
        <w:tc>
          <w:tcPr>
            <w:tcW w:w="126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63.9</w:t>
            </w:r>
          </w:p>
        </w:tc>
        <w:tc>
          <w:tcPr>
            <w:tcW w:w="1174" w:type="dxa"/>
            <w:tcBorders>
              <w:top w:val="nil"/>
              <w:left w:val="nil"/>
              <w:bottom w:val="single" w:sz="4" w:space="0" w:color="auto"/>
              <w:right w:val="single" w:sz="4" w:space="0" w:color="auto"/>
            </w:tcBorders>
            <w:shd w:val="clear" w:color="auto" w:fill="auto"/>
            <w:noWrap/>
            <w:vAlign w:val="bottom"/>
            <w:hideMark/>
          </w:tcPr>
          <w:p w:rsidR="009E2C94" w:rsidRPr="009E2C94" w:rsidRDefault="009E2C94" w:rsidP="00750605">
            <w:pPr>
              <w:spacing w:before="60" w:after="60" w:line="240" w:lineRule="auto"/>
              <w:jc w:val="center"/>
              <w:rPr>
                <w:rFonts w:ascii="Arial" w:eastAsia="Times New Roman" w:hAnsi="Arial" w:cs="Arial"/>
                <w:color w:val="000000"/>
                <w:sz w:val="18"/>
                <w:szCs w:val="18"/>
              </w:rPr>
            </w:pPr>
            <w:r w:rsidRPr="009E2C94">
              <w:rPr>
                <w:rFonts w:ascii="Arial" w:eastAsia="Times New Roman" w:hAnsi="Arial" w:cs="Arial"/>
                <w:color w:val="000000"/>
                <w:sz w:val="18"/>
                <w:szCs w:val="18"/>
              </w:rPr>
              <w:t>64.8</w:t>
            </w:r>
          </w:p>
        </w:tc>
      </w:tr>
    </w:tbl>
    <w:p w:rsidR="006A7080" w:rsidRDefault="006A7080" w:rsidP="006A7080">
      <w:pPr>
        <w:pStyle w:val="BodyParaAfterTableFigure"/>
      </w:pPr>
      <w:r>
        <w:t>A</w:t>
      </w:r>
      <w:r w:rsidRPr="0086716E">
        <w:t xml:space="preserve"> </w:t>
      </w:r>
      <w:r>
        <w:t xml:space="preserve">graphical </w:t>
      </w:r>
      <w:r w:rsidRPr="0086716E">
        <w:t xml:space="preserve">comparison between the </w:t>
      </w:r>
      <w:r>
        <w:t xml:space="preserve">summer </w:t>
      </w:r>
      <w:r w:rsidRPr="0086716E">
        <w:t>ex ante</w:t>
      </w:r>
      <w:r w:rsidRPr="00121359">
        <w:t xml:space="preserve"> load impacts for large C&amp;I customers as estimated in the 2013 and 2014 load impact evaluat</w:t>
      </w:r>
      <w:r w:rsidR="00132BF4">
        <w:t>ion is shown in Figure 5-5</w:t>
      </w:r>
      <w:proofErr w:type="gramStart"/>
      <w:r w:rsidRPr="00121359">
        <w:t xml:space="preserve">.  </w:t>
      </w:r>
      <w:proofErr w:type="gramEnd"/>
      <w:r w:rsidRPr="00121359">
        <w:t xml:space="preserve">The 2013 ex ante estimates are </w:t>
      </w:r>
      <w:r w:rsidR="00BF039B">
        <w:t>similar to those estimated this year, but this year’s</w:t>
      </w:r>
      <w:r w:rsidRPr="00121359">
        <w:t xml:space="preserve"> ex ante estimates show a</w:t>
      </w:r>
      <w:r w:rsidR="008A4099">
        <w:t> </w:t>
      </w:r>
      <w:r w:rsidRPr="00121359">
        <w:t>stronger relationship with temperature than the estimates from 2013.</w:t>
      </w:r>
    </w:p>
    <w:p w:rsidR="006A7080" w:rsidRDefault="006A7080" w:rsidP="006A7080">
      <w:pPr>
        <w:pStyle w:val="TableFigureCaption"/>
        <w:rPr>
          <w:noProof/>
        </w:rPr>
      </w:pPr>
      <w:r>
        <w:lastRenderedPageBreak/>
        <w:t>Figure 5-</w:t>
      </w:r>
      <w:r w:rsidR="00132BF4">
        <w:t>5</w:t>
      </w:r>
      <w:r>
        <w:t xml:space="preserve">: Comparison of 2013 </w:t>
      </w:r>
      <w:proofErr w:type="gramStart"/>
      <w:r>
        <w:t>Ex</w:t>
      </w:r>
      <w:proofErr w:type="gramEnd"/>
      <w:r w:rsidR="002844CF">
        <w:t xml:space="preserve"> </w:t>
      </w:r>
      <w:r>
        <w:t>Ante Load Impacts to 2014 Ex</w:t>
      </w:r>
      <w:r w:rsidR="002844CF">
        <w:t xml:space="preserve"> </w:t>
      </w:r>
      <w:r w:rsidRPr="00DA0B27">
        <w:t xml:space="preserve">Ante </w:t>
      </w:r>
      <w:r>
        <w:br/>
        <w:t xml:space="preserve">Large C&amp;I Summer Months </w:t>
      </w:r>
      <w:r w:rsidRPr="00DA0B27">
        <w:t>Load Impacts vs. Temperature</w:t>
      </w:r>
      <w:r>
        <w:t xml:space="preserve"> </w:t>
      </w:r>
    </w:p>
    <w:p w:rsidR="006A7080" w:rsidRDefault="00BF039B" w:rsidP="006A7080">
      <w:pPr>
        <w:pStyle w:val="BodyParagraph"/>
        <w:jc w:val="center"/>
        <w:rPr>
          <w:highlight w:val="yellow"/>
        </w:rPr>
      </w:pPr>
      <w:r>
        <w:rPr>
          <w:noProof/>
        </w:rPr>
        <w:drawing>
          <wp:inline distT="0" distB="0" distL="0" distR="0" wp14:anchorId="03B588F3" wp14:editId="66537CD6">
            <wp:extent cx="5943600" cy="3239135"/>
            <wp:effectExtent l="0" t="0" r="0" b="0"/>
            <wp:docPr id="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943600" cy="3239135"/>
                    </a:xfrm>
                    <a:prstGeom prst="rect">
                      <a:avLst/>
                    </a:prstGeom>
                    <a:noFill/>
                    <a:extLst/>
                  </pic:spPr>
                </pic:pic>
              </a:graphicData>
            </a:graphic>
          </wp:inline>
        </w:drawing>
      </w:r>
    </w:p>
    <w:p w:rsidR="007F6BEB" w:rsidRDefault="00DD48FA" w:rsidP="004C53F1">
      <w:pPr>
        <w:pStyle w:val="Heading3"/>
      </w:pPr>
      <w:bookmarkStart w:id="156" w:name="_Toc415494775"/>
      <w:r>
        <w:t xml:space="preserve">Relationship </w:t>
      </w:r>
      <w:r w:rsidR="004C53F1">
        <w:t>between</w:t>
      </w:r>
      <w:r w:rsidR="007F6BEB">
        <w:t xml:space="preserve"> Ex Post and Ex Ante Estimates</w:t>
      </w:r>
      <w:bookmarkEnd w:id="156"/>
    </w:p>
    <w:p w:rsidR="007F6BEB" w:rsidRDefault="007F6BEB" w:rsidP="007F6BEB">
      <w:pPr>
        <w:pStyle w:val="BodyParagraph"/>
      </w:pPr>
      <w:r>
        <w:t xml:space="preserve">The </w:t>
      </w:r>
      <w:r w:rsidR="00DD48FA">
        <w:t>ex post estimates presented in S</w:t>
      </w:r>
      <w:r>
        <w:t xml:space="preserve">ection 4 and the </w:t>
      </w:r>
      <w:proofErr w:type="spellStart"/>
      <w:r>
        <w:t>ex ante</w:t>
      </w:r>
      <w:proofErr w:type="spellEnd"/>
      <w:r>
        <w:t xml:space="preserve"> estimates presented </w:t>
      </w:r>
      <w:r w:rsidR="00DD48FA">
        <w:t>in this section</w:t>
      </w:r>
      <w:r>
        <w:t xml:space="preserve"> differ for a number of reasons, including differences in weather</w:t>
      </w:r>
      <w:r w:rsidR="002F5725">
        <w:t>, enrollment, event window and estimation methodology</w:t>
      </w:r>
      <w:proofErr w:type="gramStart"/>
      <w:r w:rsidR="002F5725">
        <w:t xml:space="preserve">.  </w:t>
      </w:r>
      <w:proofErr w:type="gramEnd"/>
      <w:r w:rsidR="002F5725">
        <w:t>This section discusses the impact these factors</w:t>
      </w:r>
      <w:r w:rsidR="008A4099">
        <w:t xml:space="preserve"> have </w:t>
      </w:r>
      <w:r w:rsidR="002F5725">
        <w:t>on</w:t>
      </w:r>
      <w:r w:rsidR="008A4099">
        <w:t> </w:t>
      </w:r>
      <w:r w:rsidR="002F5725">
        <w:t>the difference between ex post and ex ante impact estimates.</w:t>
      </w:r>
    </w:p>
    <w:p w:rsidR="00EA1C6D" w:rsidRDefault="007C7B55" w:rsidP="007F6BEB">
      <w:pPr>
        <w:pStyle w:val="BodyParagraph"/>
        <w:sectPr w:rsidR="00EA1C6D" w:rsidSect="003B398F">
          <w:footerReference w:type="default" r:id="rId62"/>
          <w:pgSz w:w="12240" w:h="15840"/>
          <w:pgMar w:top="1440" w:right="1440" w:bottom="1440" w:left="1440" w:header="720" w:footer="720" w:gutter="0"/>
          <w:cols w:space="720"/>
          <w:docGrid w:linePitch="360"/>
        </w:sectPr>
      </w:pPr>
      <w:r>
        <w:rPr>
          <w:rFonts w:cs="Arial"/>
        </w:rPr>
        <w:t>Table 5-7</w:t>
      </w:r>
      <w:r w:rsidRPr="004378B3">
        <w:rPr>
          <w:rFonts w:cs="Arial"/>
        </w:rPr>
        <w:t xml:space="preserve"> summarizes the key factors that lead to differences between ex post and ex ante estimates for </w:t>
      </w:r>
      <w:r w:rsidR="00544C14">
        <w:rPr>
          <w:rFonts w:cs="Arial"/>
        </w:rPr>
        <w:t>CPP</w:t>
      </w:r>
      <w:r w:rsidRPr="004378B3">
        <w:rPr>
          <w:rFonts w:cs="Arial"/>
        </w:rPr>
        <w:t xml:space="preserve"> and the expected influence that these factors have on the relationship between ex post and ex ante impacts</w:t>
      </w:r>
      <w:proofErr w:type="gramStart"/>
      <w:r w:rsidRPr="004378B3">
        <w:rPr>
          <w:rFonts w:cs="Arial"/>
        </w:rPr>
        <w:t xml:space="preserve">.  </w:t>
      </w:r>
      <w:proofErr w:type="gramEnd"/>
      <w:r w:rsidRPr="004378B3">
        <w:rPr>
          <w:rFonts w:cs="Arial"/>
        </w:rPr>
        <w:t xml:space="preserve">Given that the </w:t>
      </w:r>
      <w:r>
        <w:rPr>
          <w:rFonts w:cs="Arial"/>
        </w:rPr>
        <w:t>CPP load impacts are</w:t>
      </w:r>
      <w:r w:rsidRPr="004378B3">
        <w:rPr>
          <w:rFonts w:cs="Arial"/>
        </w:rPr>
        <w:t xml:space="preserve"> sensitive to variation in weather, even small changes in </w:t>
      </w:r>
      <w:r w:rsidRPr="00A542A4">
        <w:rPr>
          <w:rFonts w:cs="Arial"/>
          <w:i/>
        </w:rPr>
        <w:t>mean</w:t>
      </w:r>
      <w:r w:rsidRPr="008028DC">
        <w:rPr>
          <w:rFonts w:cs="Arial"/>
          <w:i/>
        </w:rPr>
        <w:t>17</w:t>
      </w:r>
      <w:r w:rsidRPr="004378B3">
        <w:rPr>
          <w:rFonts w:cs="Arial"/>
        </w:rPr>
        <w:t xml:space="preserve"> between ex post and ex ante weather conditions can produce relatively large differences in load impacts</w:t>
      </w:r>
      <w:proofErr w:type="gramStart"/>
      <w:r w:rsidRPr="004378B3">
        <w:rPr>
          <w:rFonts w:cs="Arial"/>
        </w:rPr>
        <w:t xml:space="preserve">.  </w:t>
      </w:r>
      <w:proofErr w:type="gramEnd"/>
      <w:r w:rsidRPr="004378B3">
        <w:rPr>
          <w:rFonts w:cs="Arial"/>
        </w:rPr>
        <w:t>For the typical event day, ex</w:t>
      </w:r>
      <w:r w:rsidR="008A4099">
        <w:rPr>
          <w:rFonts w:cs="Arial"/>
        </w:rPr>
        <w:t> </w:t>
      </w:r>
      <w:r w:rsidRPr="004378B3">
        <w:rPr>
          <w:rFonts w:cs="Arial"/>
        </w:rPr>
        <w:t xml:space="preserve">ante impacts </w:t>
      </w:r>
      <w:r w:rsidR="00544C14">
        <w:rPr>
          <w:rFonts w:cs="Arial"/>
        </w:rPr>
        <w:t>are</w:t>
      </w:r>
      <w:r w:rsidRPr="004378B3">
        <w:rPr>
          <w:rFonts w:cs="Arial"/>
        </w:rPr>
        <w:t xml:space="preserve"> s</w:t>
      </w:r>
      <w:r>
        <w:rPr>
          <w:rFonts w:cs="Arial"/>
        </w:rPr>
        <w:t>ignificantly</w:t>
      </w:r>
      <w:r w:rsidRPr="004378B3">
        <w:rPr>
          <w:rFonts w:cs="Arial"/>
        </w:rPr>
        <w:t xml:space="preserve"> higher </w:t>
      </w:r>
      <w:r>
        <w:rPr>
          <w:rFonts w:cs="Arial"/>
        </w:rPr>
        <w:t xml:space="preserve">when </w:t>
      </w:r>
      <w:r w:rsidRPr="004378B3">
        <w:rPr>
          <w:rFonts w:cs="Arial"/>
        </w:rPr>
        <w:t xml:space="preserve">based on PG&amp;E ex ante weather and </w:t>
      </w:r>
      <w:r>
        <w:rPr>
          <w:rFonts w:cs="Arial"/>
        </w:rPr>
        <w:t>only slightly higher than</w:t>
      </w:r>
      <w:r w:rsidRPr="004378B3">
        <w:rPr>
          <w:rFonts w:cs="Arial"/>
        </w:rPr>
        <w:t xml:space="preserve"> ex post values</w:t>
      </w:r>
      <w:r>
        <w:rPr>
          <w:rFonts w:cs="Arial"/>
        </w:rPr>
        <w:t xml:space="preserve"> when</w:t>
      </w:r>
      <w:r w:rsidRPr="004378B3">
        <w:rPr>
          <w:rFonts w:cs="Arial"/>
        </w:rPr>
        <w:t xml:space="preserve"> based on CAISO weather conditions</w:t>
      </w:r>
      <w:proofErr w:type="gramStart"/>
      <w:r w:rsidRPr="004378B3">
        <w:rPr>
          <w:rFonts w:cs="Arial"/>
        </w:rPr>
        <w:t xml:space="preserve">.  </w:t>
      </w:r>
      <w:proofErr w:type="gramEnd"/>
      <w:r w:rsidRPr="004378B3">
        <w:rPr>
          <w:rFonts w:cs="Arial"/>
        </w:rPr>
        <w:t xml:space="preserve">This change </w:t>
      </w:r>
      <w:r w:rsidR="00544C14">
        <w:rPr>
          <w:rFonts w:cs="Arial"/>
        </w:rPr>
        <w:t>increases</w:t>
      </w:r>
      <w:r w:rsidRPr="004378B3">
        <w:rPr>
          <w:rFonts w:cs="Arial"/>
        </w:rPr>
        <w:t xml:space="preserve"> the </w:t>
      </w:r>
      <w:proofErr w:type="spellStart"/>
      <w:r w:rsidR="00544C14">
        <w:rPr>
          <w:rFonts w:cs="Arial"/>
        </w:rPr>
        <w:t>ex ante</w:t>
      </w:r>
      <w:proofErr w:type="spellEnd"/>
      <w:r w:rsidR="00544C14">
        <w:rPr>
          <w:rFonts w:cs="Arial"/>
        </w:rPr>
        <w:t xml:space="preserve"> </w:t>
      </w:r>
      <w:r w:rsidRPr="004378B3">
        <w:rPr>
          <w:rFonts w:cs="Arial"/>
        </w:rPr>
        <w:t>impacts by roughly 20%</w:t>
      </w:r>
      <w:r w:rsidR="00544C14">
        <w:rPr>
          <w:rFonts w:cs="Arial"/>
        </w:rPr>
        <w:t xml:space="preserve"> for the typical event day under 1-in-2 PG&amp;E weather conditions, as compared to the average 2014 event day</w:t>
      </w:r>
      <w:proofErr w:type="gramStart"/>
      <w:r w:rsidRPr="004378B3">
        <w:rPr>
          <w:rFonts w:cs="Arial"/>
        </w:rPr>
        <w:t xml:space="preserve">.  </w:t>
      </w:r>
      <w:proofErr w:type="gramEnd"/>
      <w:r w:rsidRPr="004378B3">
        <w:rPr>
          <w:rFonts w:cs="Arial"/>
        </w:rPr>
        <w:t>Changes in enrollment between the values used for ex post estimation and the 2015 enrollment values incr</w:t>
      </w:r>
      <w:r>
        <w:rPr>
          <w:rFonts w:cs="Arial"/>
        </w:rPr>
        <w:t>ease impact estimates by about 15</w:t>
      </w:r>
      <w:r w:rsidRPr="004378B3">
        <w:rPr>
          <w:rFonts w:cs="Arial"/>
        </w:rPr>
        <w:t>%</w:t>
      </w:r>
      <w:proofErr w:type="gramStart"/>
      <w:r w:rsidRPr="004378B3">
        <w:rPr>
          <w:rFonts w:cs="Arial"/>
        </w:rPr>
        <w:t xml:space="preserve">.  </w:t>
      </w:r>
      <w:proofErr w:type="gramEnd"/>
      <w:r w:rsidRPr="004378B3">
        <w:rPr>
          <w:rFonts w:cs="Arial"/>
        </w:rPr>
        <w:t xml:space="preserve">Finally, the fact that the </w:t>
      </w:r>
      <w:proofErr w:type="spellStart"/>
      <w:r w:rsidRPr="004378B3">
        <w:rPr>
          <w:rFonts w:cs="Arial"/>
        </w:rPr>
        <w:t>ex ante</w:t>
      </w:r>
      <w:proofErr w:type="spellEnd"/>
      <w:r w:rsidRPr="004378B3">
        <w:rPr>
          <w:rFonts w:cs="Arial"/>
        </w:rPr>
        <w:t xml:space="preserve"> model is based on ex post impacts from both 2013 and 2</w:t>
      </w:r>
      <w:r>
        <w:rPr>
          <w:rFonts w:cs="Arial"/>
        </w:rPr>
        <w:t>014 for persistent customers, which exhibit a stronger relationship with temperature, will result in higher ex ante load impacts at higher temperature values than ex post impacts at similar values</w:t>
      </w:r>
      <w:proofErr w:type="gramStart"/>
      <w:r>
        <w:rPr>
          <w:rFonts w:cs="Arial"/>
        </w:rPr>
        <w:t xml:space="preserve">.  </w:t>
      </w:r>
      <w:proofErr w:type="gramEnd"/>
      <w:r>
        <w:rPr>
          <w:rFonts w:cs="Arial"/>
        </w:rPr>
        <w:t xml:space="preserve">Furthermore, reference load for the </w:t>
      </w:r>
      <w:proofErr w:type="spellStart"/>
      <w:r>
        <w:rPr>
          <w:rFonts w:cs="Arial"/>
        </w:rPr>
        <w:t>ex ante</w:t>
      </w:r>
      <w:proofErr w:type="spellEnd"/>
      <w:r>
        <w:rPr>
          <w:rFonts w:cs="Arial"/>
        </w:rPr>
        <w:t xml:space="preserve"> population enrolled in January 2015, which was used to model reference load for ex ante conditions, is about 30</w:t>
      </w:r>
      <w:r w:rsidR="008A4099">
        <w:rPr>
          <w:rFonts w:cs="Arial"/>
        </w:rPr>
        <w:t xml:space="preserve"> </w:t>
      </w:r>
      <w:r>
        <w:rPr>
          <w:rFonts w:cs="Arial"/>
        </w:rPr>
        <w:t>kW higher on average than that of the ex post population</w:t>
      </w:r>
      <w:proofErr w:type="gramStart"/>
      <w:r>
        <w:rPr>
          <w:rFonts w:cs="Arial"/>
        </w:rPr>
        <w:t xml:space="preserve">.  </w:t>
      </w:r>
      <w:proofErr w:type="gramEnd"/>
      <w:r>
        <w:rPr>
          <w:rFonts w:cs="Arial"/>
        </w:rPr>
        <w:t xml:space="preserve">This will </w:t>
      </w:r>
      <w:r w:rsidR="00544C14">
        <w:rPr>
          <w:rFonts w:cs="Arial"/>
        </w:rPr>
        <w:t xml:space="preserve">also </w:t>
      </w:r>
      <w:r>
        <w:rPr>
          <w:rFonts w:cs="Arial"/>
        </w:rPr>
        <w:t>result in higher ex ante load impacts.</w:t>
      </w:r>
    </w:p>
    <w:p w:rsidR="00EA1C6D" w:rsidRDefault="00EA1C6D" w:rsidP="00EA1C6D">
      <w:pPr>
        <w:pStyle w:val="TableFigureCaption"/>
      </w:pPr>
      <w:r>
        <w:lastRenderedPageBreak/>
        <w:t>Table 5-7</w:t>
      </w:r>
      <w:r w:rsidRPr="00CE3A74">
        <w:t xml:space="preserve">:  Summary of </w:t>
      </w:r>
      <w:r>
        <w:t>Factors Underlying Differences b</w:t>
      </w:r>
      <w:r w:rsidRPr="00CE3A74">
        <w:t xml:space="preserve">etween Ex Post and Ex Ante Impacts for the </w:t>
      </w:r>
      <w:r>
        <w:t>Default CPP Customers for the Ex Ante Typical Event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EA1C6D" w:rsidRPr="00981BF8" w:rsidTr="009472DF">
        <w:trPr>
          <w:trHeight w:val="525"/>
        </w:trPr>
        <w:tc>
          <w:tcPr>
            <w:tcW w:w="1458" w:type="dxa"/>
            <w:tcBorders>
              <w:bottom w:val="single" w:sz="4" w:space="0" w:color="auto"/>
              <w:right w:val="single" w:sz="4" w:space="0" w:color="FFFFFF" w:themeColor="background1"/>
            </w:tcBorders>
            <w:shd w:val="clear" w:color="auto" w:fill="0070CD"/>
            <w:vAlign w:val="center"/>
            <w:hideMark/>
          </w:tcPr>
          <w:p w:rsidR="00EA1C6D" w:rsidRPr="008F7A89" w:rsidRDefault="00EA1C6D" w:rsidP="009472DF">
            <w:pPr>
              <w:pStyle w:val="TableHeader"/>
              <w:rPr>
                <w:rFonts w:cs="Arial"/>
              </w:rPr>
            </w:pPr>
            <w:r w:rsidRPr="008F7A89">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EA1C6D" w:rsidRPr="008F7A89" w:rsidRDefault="00EA1C6D" w:rsidP="009472DF">
            <w:pPr>
              <w:pStyle w:val="TableHeader"/>
              <w:rPr>
                <w:rFonts w:cs="Arial"/>
              </w:rPr>
            </w:pPr>
            <w:r w:rsidRPr="008F7A89">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EA1C6D" w:rsidRPr="008F7A89" w:rsidRDefault="00EA1C6D" w:rsidP="009472DF">
            <w:pPr>
              <w:pStyle w:val="TableHeader"/>
              <w:rPr>
                <w:rFonts w:cs="Arial"/>
              </w:rPr>
            </w:pPr>
            <w:r w:rsidRPr="008F7A89">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EA1C6D" w:rsidRPr="008F7A89" w:rsidRDefault="00EA1C6D" w:rsidP="009472DF">
            <w:pPr>
              <w:pStyle w:val="TableHeader"/>
              <w:rPr>
                <w:rFonts w:cs="Arial"/>
              </w:rPr>
            </w:pPr>
            <w:r w:rsidRPr="008F7A89">
              <w:rPr>
                <w:rFonts w:cs="Arial"/>
              </w:rPr>
              <w:t>Expected Impact</w:t>
            </w:r>
          </w:p>
        </w:tc>
      </w:tr>
      <w:tr w:rsidR="00EA1C6D" w:rsidRPr="00981BF8" w:rsidTr="009472DF">
        <w:trPr>
          <w:trHeight w:val="1824"/>
        </w:trPr>
        <w:tc>
          <w:tcPr>
            <w:tcW w:w="1458" w:type="dxa"/>
            <w:shd w:val="clear" w:color="auto" w:fill="FFFFFF" w:themeFill="background1"/>
            <w:noWrap/>
            <w:vAlign w:val="center"/>
            <w:hideMark/>
          </w:tcPr>
          <w:p w:rsidR="00EA1C6D" w:rsidRPr="008F7A89" w:rsidRDefault="00EA1C6D" w:rsidP="009472DF">
            <w:pPr>
              <w:pStyle w:val="TableText"/>
              <w:spacing w:before="100" w:after="100"/>
              <w:contextualSpacing/>
              <w:rPr>
                <w:rFonts w:cs="Arial"/>
                <w:highlight w:val="lightGray"/>
              </w:rPr>
            </w:pPr>
            <w:r w:rsidRPr="008F7A89">
              <w:rPr>
                <w:rFonts w:cs="Arial"/>
              </w:rPr>
              <w:t>Weather</w:t>
            </w:r>
          </w:p>
        </w:tc>
        <w:tc>
          <w:tcPr>
            <w:tcW w:w="3330" w:type="dxa"/>
            <w:shd w:val="clear" w:color="auto" w:fill="FFFFFF" w:themeFill="background1"/>
            <w:noWrap/>
            <w:vAlign w:val="center"/>
            <w:hideMark/>
          </w:tcPr>
          <w:p w:rsidR="00EA1C6D" w:rsidRPr="008F7A89" w:rsidRDefault="00EA1C6D" w:rsidP="008028DC">
            <w:pPr>
              <w:pStyle w:val="TableText"/>
              <w:spacing w:before="100" w:after="100"/>
              <w:contextualSpacing/>
              <w:jc w:val="left"/>
              <w:rPr>
                <w:rFonts w:cs="Arial"/>
              </w:rPr>
            </w:pPr>
            <w:r w:rsidRPr="008F7A89">
              <w:rPr>
                <w:rFonts w:cs="Arial"/>
              </w:rPr>
              <w:t>Default CPP customers:</w:t>
            </w:r>
          </w:p>
          <w:p w:rsidR="00EA1C6D" w:rsidRPr="008F7A89" w:rsidRDefault="00EA1C6D" w:rsidP="008028DC">
            <w:pPr>
              <w:pStyle w:val="TableText"/>
              <w:spacing w:before="100" w:after="100"/>
              <w:contextualSpacing/>
              <w:jc w:val="left"/>
              <w:rPr>
                <w:rFonts w:cs="Arial"/>
              </w:rPr>
            </w:pPr>
            <w:r w:rsidRPr="008F7A89">
              <w:rPr>
                <w:rFonts w:cs="Arial"/>
              </w:rPr>
              <w:t>73 &lt; event day mean17 &lt; 78</w:t>
            </w:r>
          </w:p>
          <w:p w:rsidR="00EA1C6D" w:rsidRPr="008F7A89" w:rsidRDefault="00544C14" w:rsidP="008028DC">
            <w:pPr>
              <w:pStyle w:val="TableText"/>
              <w:spacing w:before="100" w:after="100"/>
              <w:contextualSpacing/>
              <w:jc w:val="left"/>
              <w:rPr>
                <w:rFonts w:cs="Arial"/>
              </w:rPr>
            </w:pPr>
            <w:r>
              <w:rPr>
                <w:rFonts w:cs="Arial"/>
              </w:rPr>
              <w:t>Average event day mean17 = 75</w:t>
            </w:r>
          </w:p>
          <w:p w:rsidR="00EA1C6D" w:rsidRPr="008F7A89" w:rsidRDefault="00EA1C6D" w:rsidP="008028DC">
            <w:pPr>
              <w:pStyle w:val="TableText"/>
              <w:spacing w:before="100" w:after="100"/>
              <w:contextualSpacing/>
              <w:jc w:val="left"/>
              <w:rPr>
                <w:rFonts w:cs="Arial"/>
                <w:highlight w:val="lightGray"/>
              </w:rPr>
            </w:pPr>
          </w:p>
        </w:tc>
        <w:tc>
          <w:tcPr>
            <w:tcW w:w="495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Program specific mean17 for 1-in-2 typical event day = 78.1 and 75.6 for PG&amp;E and CAISO weather, respectively</w:t>
            </w:r>
          </w:p>
          <w:p w:rsidR="00EA1C6D" w:rsidRPr="008F7A89" w:rsidRDefault="00EA1C6D" w:rsidP="008028DC">
            <w:pPr>
              <w:pStyle w:val="TableText"/>
              <w:spacing w:before="100" w:after="100"/>
              <w:contextualSpacing/>
              <w:jc w:val="left"/>
              <w:rPr>
                <w:rFonts w:cs="Arial"/>
              </w:rPr>
            </w:pPr>
            <w:r w:rsidRPr="008F7A89">
              <w:rPr>
                <w:rFonts w:cs="Arial"/>
              </w:rPr>
              <w:t xml:space="preserve">Program specific mean17 for 1-in-10 typical event day = 81.7 and 78.8 for PG&amp;E </w:t>
            </w:r>
            <w:r w:rsidR="009472DF">
              <w:rPr>
                <w:rFonts w:cs="Arial"/>
              </w:rPr>
              <w:t>and CAISO weather, respectively</w:t>
            </w:r>
          </w:p>
        </w:tc>
        <w:tc>
          <w:tcPr>
            <w:tcW w:w="333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Ex ante estimates are sensitive to variation in mean17 – impacts will be significantly higher based on PG&amp;E weather and only slightly higher based on CAISO weather</w:t>
            </w:r>
          </w:p>
        </w:tc>
      </w:tr>
      <w:tr w:rsidR="00EA1C6D" w:rsidRPr="00981BF8" w:rsidTr="009472DF">
        <w:trPr>
          <w:trHeight w:val="1150"/>
        </w:trPr>
        <w:tc>
          <w:tcPr>
            <w:tcW w:w="1458" w:type="dxa"/>
            <w:shd w:val="clear" w:color="auto" w:fill="FFFFFF" w:themeFill="background1"/>
            <w:noWrap/>
            <w:vAlign w:val="center"/>
            <w:hideMark/>
          </w:tcPr>
          <w:p w:rsidR="00EA1C6D" w:rsidRPr="008F7A89" w:rsidRDefault="00EA1C6D" w:rsidP="009472DF">
            <w:pPr>
              <w:pStyle w:val="TableText"/>
              <w:spacing w:before="100" w:after="100"/>
              <w:contextualSpacing/>
              <w:rPr>
                <w:rFonts w:cs="Arial"/>
              </w:rPr>
            </w:pPr>
            <w:r w:rsidRPr="008F7A89">
              <w:rPr>
                <w:rFonts w:cs="Arial"/>
              </w:rPr>
              <w:t>Event window</w:t>
            </w:r>
          </w:p>
        </w:tc>
        <w:tc>
          <w:tcPr>
            <w:tcW w:w="3330" w:type="dxa"/>
            <w:shd w:val="clear" w:color="auto" w:fill="FFFFFF" w:themeFill="background1"/>
            <w:noWrap/>
            <w:vAlign w:val="center"/>
            <w:hideMark/>
          </w:tcPr>
          <w:p w:rsidR="00EA1C6D" w:rsidRPr="008F7A89" w:rsidRDefault="00EA1C6D" w:rsidP="008028DC">
            <w:pPr>
              <w:pStyle w:val="TableText"/>
              <w:spacing w:before="100" w:after="100"/>
              <w:contextualSpacing/>
              <w:jc w:val="left"/>
              <w:rPr>
                <w:rFonts w:cs="Arial"/>
              </w:rPr>
            </w:pPr>
            <w:r w:rsidRPr="008F7A89">
              <w:rPr>
                <w:rFonts w:cs="Arial"/>
              </w:rPr>
              <w:t>All events called from 2 to 6 PM</w:t>
            </w:r>
          </w:p>
        </w:tc>
        <w:tc>
          <w:tcPr>
            <w:tcW w:w="4950" w:type="dxa"/>
            <w:shd w:val="clear" w:color="auto" w:fill="FFFFFF" w:themeFill="background1"/>
            <w:vAlign w:val="center"/>
            <w:hideMark/>
          </w:tcPr>
          <w:p w:rsidR="00EA1C6D" w:rsidRPr="008F7A89" w:rsidRDefault="00143B4D" w:rsidP="008028DC">
            <w:pPr>
              <w:pStyle w:val="TableText"/>
              <w:spacing w:before="100" w:after="100"/>
              <w:contextualSpacing/>
              <w:jc w:val="left"/>
              <w:rPr>
                <w:rFonts w:cs="Arial"/>
              </w:rPr>
            </w:pPr>
            <w:r>
              <w:rPr>
                <w:rFonts w:cs="Arial"/>
              </w:rPr>
              <w:t xml:space="preserve">Resource adequacy </w:t>
            </w:r>
            <w:r w:rsidR="00EA1C6D" w:rsidRPr="008F7A89">
              <w:rPr>
                <w:rFonts w:cs="Arial"/>
              </w:rPr>
              <w:t xml:space="preserve">event window is 5 hours, from 1 to 6 PM, and 1 to 2 PM impact is </w:t>
            </w:r>
            <w:r>
              <w:rPr>
                <w:rFonts w:cs="Arial"/>
              </w:rPr>
              <w:t>basically zero because the CPP program event window does not include that hour</w:t>
            </w:r>
          </w:p>
        </w:tc>
        <w:tc>
          <w:tcPr>
            <w:tcW w:w="333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 xml:space="preserve">Average ex ante impacts will be </w:t>
            </w:r>
            <w:r w:rsidR="00143B4D">
              <w:rPr>
                <w:rFonts w:cs="Arial"/>
              </w:rPr>
              <w:t>lower</w:t>
            </w:r>
          </w:p>
        </w:tc>
      </w:tr>
      <w:tr w:rsidR="00EA1C6D" w:rsidRPr="00981BF8" w:rsidTr="009472DF">
        <w:trPr>
          <w:trHeight w:val="772"/>
        </w:trPr>
        <w:tc>
          <w:tcPr>
            <w:tcW w:w="1458" w:type="dxa"/>
            <w:shd w:val="clear" w:color="auto" w:fill="FFFFFF" w:themeFill="background1"/>
            <w:noWrap/>
            <w:vAlign w:val="center"/>
            <w:hideMark/>
          </w:tcPr>
          <w:p w:rsidR="00EA1C6D" w:rsidRPr="008F7A89" w:rsidRDefault="00EA1C6D" w:rsidP="009472DF">
            <w:pPr>
              <w:pStyle w:val="TableText"/>
              <w:spacing w:before="100" w:after="100"/>
              <w:contextualSpacing/>
              <w:rPr>
                <w:rFonts w:cs="Arial"/>
              </w:rPr>
            </w:pPr>
            <w:r w:rsidRPr="008F7A89">
              <w:rPr>
                <w:rFonts w:cs="Arial"/>
              </w:rPr>
              <w:t>Enrollment</w:t>
            </w:r>
          </w:p>
        </w:tc>
        <w:tc>
          <w:tcPr>
            <w:tcW w:w="3330" w:type="dxa"/>
            <w:shd w:val="clear" w:color="auto" w:fill="FFFFFF" w:themeFill="background1"/>
            <w:noWrap/>
            <w:vAlign w:val="center"/>
            <w:hideMark/>
          </w:tcPr>
          <w:p w:rsidR="00EA1C6D" w:rsidRPr="008F7A89" w:rsidRDefault="00EA1C6D" w:rsidP="008028DC">
            <w:pPr>
              <w:pStyle w:val="TableText"/>
              <w:spacing w:before="100" w:after="100"/>
              <w:contextualSpacing/>
              <w:jc w:val="left"/>
              <w:rPr>
                <w:rFonts w:cs="Arial"/>
              </w:rPr>
            </w:pPr>
            <w:r w:rsidRPr="008F7A89">
              <w:rPr>
                <w:rFonts w:cs="Arial"/>
              </w:rPr>
              <w:t>Enrollment remained fairly constant over the 2014 summer</w:t>
            </w:r>
          </w:p>
        </w:tc>
        <w:tc>
          <w:tcPr>
            <w:tcW w:w="495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2015 enrollment is forecast to be about 15% higher</w:t>
            </w:r>
          </w:p>
        </w:tc>
        <w:tc>
          <w:tcPr>
            <w:tcW w:w="333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Ex ante estimates will be about 15% higher than ex post</w:t>
            </w:r>
          </w:p>
        </w:tc>
      </w:tr>
      <w:tr w:rsidR="00EA1C6D" w:rsidRPr="00981BF8" w:rsidTr="009472DF">
        <w:trPr>
          <w:trHeight w:val="2708"/>
        </w:trPr>
        <w:tc>
          <w:tcPr>
            <w:tcW w:w="1458" w:type="dxa"/>
            <w:shd w:val="clear" w:color="auto" w:fill="FFFFFF" w:themeFill="background1"/>
            <w:noWrap/>
            <w:vAlign w:val="center"/>
            <w:hideMark/>
          </w:tcPr>
          <w:p w:rsidR="00EA1C6D" w:rsidRPr="008F7A89" w:rsidRDefault="00EA1C6D" w:rsidP="009472DF">
            <w:pPr>
              <w:pStyle w:val="TableText"/>
              <w:spacing w:before="100" w:after="100"/>
              <w:contextualSpacing/>
              <w:rPr>
                <w:rFonts w:cs="Arial"/>
              </w:rPr>
            </w:pPr>
            <w:r w:rsidRPr="008F7A89">
              <w:rPr>
                <w:rFonts w:cs="Arial"/>
              </w:rPr>
              <w:t>Methodology</w:t>
            </w:r>
          </w:p>
        </w:tc>
        <w:tc>
          <w:tcPr>
            <w:tcW w:w="333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2014 impacts based on combination of matched control groups and individual customer regressions</w:t>
            </w:r>
          </w:p>
        </w:tc>
        <w:tc>
          <w:tcPr>
            <w:tcW w:w="495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Impacts: regression of ex post percent impacts against mean17 for each hour using two years’ worth of ex post impacts for persistent customers</w:t>
            </w:r>
          </w:p>
          <w:p w:rsidR="00EA1C6D" w:rsidRPr="008F7A89" w:rsidRDefault="00EA1C6D" w:rsidP="008028DC">
            <w:pPr>
              <w:pStyle w:val="TableText"/>
              <w:spacing w:before="100" w:after="100"/>
              <w:contextualSpacing/>
              <w:jc w:val="left"/>
              <w:rPr>
                <w:rFonts w:cs="Arial"/>
              </w:rPr>
            </w:pPr>
            <w:r w:rsidRPr="008F7A89">
              <w:rPr>
                <w:rFonts w:cs="Arial"/>
              </w:rPr>
              <w:t>Reference Load: regression of kW against mean17 and date variables for each hour using large ex ante population from January 2015</w:t>
            </w:r>
          </w:p>
        </w:tc>
        <w:tc>
          <w:tcPr>
            <w:tcW w:w="3330" w:type="dxa"/>
            <w:shd w:val="clear" w:color="auto" w:fill="FFFFFF" w:themeFill="background1"/>
            <w:vAlign w:val="center"/>
            <w:hideMark/>
          </w:tcPr>
          <w:p w:rsidR="00EA1C6D" w:rsidRPr="008F7A89" w:rsidRDefault="00EA1C6D" w:rsidP="008028DC">
            <w:pPr>
              <w:pStyle w:val="TableText"/>
              <w:spacing w:before="100" w:after="100"/>
              <w:contextualSpacing/>
              <w:jc w:val="left"/>
              <w:rPr>
                <w:rFonts w:cs="Arial"/>
              </w:rPr>
            </w:pPr>
            <w:r w:rsidRPr="008F7A89">
              <w:rPr>
                <w:rFonts w:cs="Arial"/>
              </w:rPr>
              <w:t>Pooled impacts from 2013 and 2014 for persistent customers exhibit a stronger temperature relationship than those for all customers</w:t>
            </w:r>
            <w:proofErr w:type="gramStart"/>
            <w:r w:rsidRPr="008F7A89">
              <w:rPr>
                <w:rFonts w:cs="Arial"/>
              </w:rPr>
              <w:t xml:space="preserve">.  </w:t>
            </w:r>
            <w:proofErr w:type="gramEnd"/>
            <w:r w:rsidRPr="008F7A89">
              <w:rPr>
                <w:rFonts w:cs="Arial"/>
              </w:rPr>
              <w:t>Impacts will be higher at higher temperatures and lower or similar at lower temperatures.</w:t>
            </w:r>
          </w:p>
          <w:p w:rsidR="00EA1C6D" w:rsidRPr="008F7A89" w:rsidRDefault="00EA1C6D" w:rsidP="008028DC">
            <w:pPr>
              <w:pStyle w:val="TableText"/>
              <w:spacing w:before="100" w:after="100"/>
              <w:contextualSpacing/>
              <w:jc w:val="left"/>
              <w:rPr>
                <w:rFonts w:cs="Arial"/>
              </w:rPr>
            </w:pPr>
            <w:r w:rsidRPr="008F7A89">
              <w:rPr>
                <w:rFonts w:cs="Arial"/>
              </w:rPr>
              <w:t xml:space="preserve">Reference load is higher for the </w:t>
            </w:r>
            <w:proofErr w:type="spellStart"/>
            <w:r w:rsidRPr="008F7A89">
              <w:rPr>
                <w:rFonts w:cs="Arial"/>
              </w:rPr>
              <w:t>ex ante</w:t>
            </w:r>
            <w:proofErr w:type="spellEnd"/>
            <w:r w:rsidRPr="008F7A89">
              <w:rPr>
                <w:rFonts w:cs="Arial"/>
              </w:rPr>
              <w:t xml:space="preserve"> population than for the ex post population, so impacts will in turn be higher.</w:t>
            </w:r>
          </w:p>
        </w:tc>
      </w:tr>
    </w:tbl>
    <w:p w:rsidR="00EA1C6D" w:rsidRDefault="00EA1C6D" w:rsidP="007F6BEB">
      <w:pPr>
        <w:pStyle w:val="BodyParagraph"/>
        <w:sectPr w:rsidR="00EA1C6D" w:rsidSect="00EA1C6D">
          <w:footerReference w:type="default" r:id="rId63"/>
          <w:pgSz w:w="15840" w:h="12240" w:orient="landscape"/>
          <w:pgMar w:top="1440" w:right="1440" w:bottom="1440" w:left="1440" w:header="720" w:footer="720" w:gutter="0"/>
          <w:cols w:space="720"/>
          <w:docGrid w:linePitch="360"/>
        </w:sectPr>
      </w:pPr>
    </w:p>
    <w:p w:rsidR="002F5725" w:rsidRDefault="002F5725" w:rsidP="007F6BEB">
      <w:pPr>
        <w:pStyle w:val="BodyParagraph"/>
      </w:pPr>
      <w:r>
        <w:lastRenderedPageBreak/>
        <w:t>Table 5-</w:t>
      </w:r>
      <w:r w:rsidR="00EA1C6D">
        <w:t>8</w:t>
      </w:r>
      <w:r>
        <w:t xml:space="preserve"> shows how aggregate load impacts change for</w:t>
      </w:r>
      <w:r w:rsidR="00192C92">
        <w:t xml:space="preserve"> large default</w:t>
      </w:r>
      <w:r>
        <w:t xml:space="preserve"> CPP customers as a result of differences in the factors underlying ex post and ex ante estimates</w:t>
      </w:r>
      <w:proofErr w:type="gramStart"/>
      <w:r>
        <w:t xml:space="preserve">.  </w:t>
      </w:r>
      <w:proofErr w:type="gramEnd"/>
      <w:r>
        <w:t>The third column</w:t>
      </w:r>
      <w:r w:rsidR="00192C92">
        <w:t xml:space="preserve"> uses the 2014 ex post impacts shown in Table 4-1 and the projected enrollment for August 2015 to produce a scaled-up ex post impact estimate</w:t>
      </w:r>
      <w:proofErr w:type="gramStart"/>
      <w:r w:rsidR="00192C92">
        <w:t xml:space="preserve">.  </w:t>
      </w:r>
      <w:proofErr w:type="gramEnd"/>
      <w:r w:rsidR="00192C92">
        <w:t>This leads to an average increase in load reductions of about 15%</w:t>
      </w:r>
      <w:proofErr w:type="gramStart"/>
      <w:r w:rsidR="00192C92">
        <w:t xml:space="preserve">.  </w:t>
      </w:r>
      <w:proofErr w:type="gramEnd"/>
      <w:r w:rsidR="00192C92">
        <w:t xml:space="preserve">The next column shows what the </w:t>
      </w:r>
      <w:proofErr w:type="spellStart"/>
      <w:r w:rsidR="00192C92">
        <w:t>ex ante</w:t>
      </w:r>
      <w:proofErr w:type="spellEnd"/>
      <w:r w:rsidR="00192C92">
        <w:t xml:space="preserve"> model would produce using the same August 2015 enrollment figures and the ex post weather conditions for each event day</w:t>
      </w:r>
      <w:proofErr w:type="gramStart"/>
      <w:r w:rsidR="00192C92">
        <w:t xml:space="preserve">.  </w:t>
      </w:r>
      <w:proofErr w:type="gramEnd"/>
      <w:r w:rsidR="00192C92">
        <w:t xml:space="preserve">The </w:t>
      </w:r>
      <w:proofErr w:type="spellStart"/>
      <w:r w:rsidR="00192C92">
        <w:t>ex ante</w:t>
      </w:r>
      <w:proofErr w:type="spellEnd"/>
      <w:r w:rsidR="00192C92">
        <w:t xml:space="preserve"> model over predicts load reductions on average by about 12% compared with the 2014 ex post impacts</w:t>
      </w:r>
      <w:proofErr w:type="gramStart"/>
      <w:r w:rsidR="00192C92">
        <w:t xml:space="preserve">.  </w:t>
      </w:r>
      <w:proofErr w:type="gramEnd"/>
      <w:r w:rsidR="00192C92">
        <w:t xml:space="preserve">As discussed </w:t>
      </w:r>
      <w:r w:rsidR="00A542A4">
        <w:t>earlier</w:t>
      </w:r>
      <w:r w:rsidR="00192C92">
        <w:t xml:space="preserve">, this is the result of estimating ex ante impacts using percent impacts from the persistent population’s 2013 and 2014 ex post values, and the higher reference load of the </w:t>
      </w:r>
      <w:proofErr w:type="spellStart"/>
      <w:r w:rsidR="00192C92">
        <w:t>ex ante</w:t>
      </w:r>
      <w:proofErr w:type="spellEnd"/>
      <w:r w:rsidR="00192C92">
        <w:t xml:space="preserve"> population used to predict reference load</w:t>
      </w:r>
      <w:proofErr w:type="gramStart"/>
      <w:r w:rsidR="00192C92">
        <w:t xml:space="preserve">.  </w:t>
      </w:r>
      <w:proofErr w:type="gramEnd"/>
      <w:r w:rsidR="004616D4">
        <w:t xml:space="preserve">The fifth column presents what the </w:t>
      </w:r>
      <w:proofErr w:type="spellStart"/>
      <w:r w:rsidR="004616D4">
        <w:t>ex ante</w:t>
      </w:r>
      <w:proofErr w:type="spellEnd"/>
      <w:r w:rsidR="004616D4">
        <w:t xml:space="preserve"> model would produce using the same August 2015 enrollment figures and ex post weather conditions but with impacts calculated over the RA window that spans 1 to 6 PM as opposed to 2 to 6 PM</w:t>
      </w:r>
      <w:proofErr w:type="gramStart"/>
      <w:r w:rsidR="004616D4">
        <w:t xml:space="preserve">.  </w:t>
      </w:r>
      <w:proofErr w:type="gramEnd"/>
      <w:r w:rsidR="004616D4">
        <w:t>Impacts are slightly l</w:t>
      </w:r>
      <w:r w:rsidR="00F20C77">
        <w:t>ower under the RA window as the impact from 1</w:t>
      </w:r>
      <w:r w:rsidR="00A542A4">
        <w:t xml:space="preserve"> to </w:t>
      </w:r>
      <w:r w:rsidR="00F20C77">
        <w:t>2 PM is close to zero</w:t>
      </w:r>
      <w:proofErr w:type="gramStart"/>
      <w:r w:rsidR="004616D4">
        <w:t xml:space="preserve">.  </w:t>
      </w:r>
      <w:proofErr w:type="gramEnd"/>
      <w:r w:rsidR="00192C92">
        <w:t>The final four columns show how aggregate load reductions vary with the different ex ante weather scenarios</w:t>
      </w:r>
      <w:proofErr w:type="gramStart"/>
      <w:r w:rsidR="00192C92">
        <w:t>.</w:t>
      </w:r>
      <w:r w:rsidR="00CD3085">
        <w:t xml:space="preserve">  </w:t>
      </w:r>
      <w:proofErr w:type="gramEnd"/>
      <w:r w:rsidR="00CD3085">
        <w:t>On average across all event days, the impacts derived from the CAISO 1-in-2 conditions are most similar to those derived using the 2014 PG&amp;E ex post weather conditions, although for an</w:t>
      </w:r>
      <w:r w:rsidR="00A542A4">
        <w:t>y</w:t>
      </w:r>
      <w:r w:rsidR="00CD3085">
        <w:t xml:space="preserve"> given ex post event day, the impacts can differ significantly</w:t>
      </w:r>
      <w:proofErr w:type="gramStart"/>
      <w:r w:rsidR="00CD3085">
        <w:t xml:space="preserve">.  </w:t>
      </w:r>
      <w:proofErr w:type="gramEnd"/>
      <w:r w:rsidR="00CD3085">
        <w:t>Using the PG&amp;E 1-in-2 year conditions increase</w:t>
      </w:r>
      <w:r w:rsidR="00F30734">
        <w:t>s the average impacts by about 7</w:t>
      </w:r>
      <w:r w:rsidR="00CD3085">
        <w:t>% compared with the impacts from the ex post weather conditions</w:t>
      </w:r>
      <w:proofErr w:type="gramStart"/>
      <w:r w:rsidR="00CD3085">
        <w:t xml:space="preserve">.  </w:t>
      </w:r>
      <w:proofErr w:type="gramEnd"/>
      <w:r w:rsidR="00CD3085">
        <w:t>The CAISO and PG&amp;E 1-in-10 year weather conditions yield impacts</w:t>
      </w:r>
      <w:r w:rsidR="00A542A4">
        <w:t xml:space="preserve"> of</w:t>
      </w:r>
      <w:r w:rsidR="00CD3085">
        <w:t xml:space="preserve"> 8% and </w:t>
      </w:r>
      <w:r w:rsidR="002B652F">
        <w:t xml:space="preserve">5% larger </w:t>
      </w:r>
      <w:r w:rsidR="00A542A4">
        <w:t>than</w:t>
      </w:r>
      <w:r w:rsidR="002B652F">
        <w:t xml:space="preserve"> impacts derived from their respective 1-in-2 year weather conditions.</w:t>
      </w:r>
    </w:p>
    <w:p w:rsidR="002F6FA3" w:rsidRDefault="00EA1C6D" w:rsidP="002F6FA3">
      <w:pPr>
        <w:pStyle w:val="TableFigureCaption"/>
        <w:rPr>
          <w:noProof/>
        </w:rPr>
      </w:pPr>
      <w:r>
        <w:t>Table 5-8</w:t>
      </w:r>
      <w:r w:rsidR="002F6FA3">
        <w:t xml:space="preserve">: Differences in </w:t>
      </w:r>
      <w:r w:rsidR="004C53F1">
        <w:t xml:space="preserve">Large </w:t>
      </w:r>
      <w:proofErr w:type="gramStart"/>
      <w:r w:rsidR="004C53F1">
        <w:t>C&amp;I</w:t>
      </w:r>
      <w:proofErr w:type="gramEnd"/>
      <w:r w:rsidR="004C53F1">
        <w:t xml:space="preserve"> </w:t>
      </w:r>
      <w:r w:rsidR="002F6FA3">
        <w:t>Ex Post and Ex Ante Impacts Due to Key Factors</w:t>
      </w:r>
    </w:p>
    <w:tbl>
      <w:tblPr>
        <w:tblW w:w="11647" w:type="dxa"/>
        <w:jc w:val="center"/>
        <w:tblInd w:w="93" w:type="dxa"/>
        <w:tblLook w:val="04A0" w:firstRow="1" w:lastRow="0" w:firstColumn="1" w:lastColumn="0" w:noHBand="0" w:noVBand="1"/>
      </w:tblPr>
      <w:tblGrid>
        <w:gridCol w:w="1106"/>
        <w:gridCol w:w="1159"/>
        <w:gridCol w:w="861"/>
        <w:gridCol w:w="1708"/>
        <w:gridCol w:w="1800"/>
        <w:gridCol w:w="1769"/>
        <w:gridCol w:w="787"/>
        <w:gridCol w:w="727"/>
        <w:gridCol w:w="879"/>
        <w:gridCol w:w="851"/>
      </w:tblGrid>
      <w:tr w:rsidR="00744453" w:rsidRPr="00744453" w:rsidTr="00744453">
        <w:trPr>
          <w:trHeight w:val="917"/>
          <w:jc w:val="center"/>
        </w:trPr>
        <w:tc>
          <w:tcPr>
            <w:tcW w:w="1106"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Date</w:t>
            </w:r>
          </w:p>
        </w:tc>
        <w:tc>
          <w:tcPr>
            <w:tcW w:w="1159"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Mean 17</w:t>
            </w:r>
          </w:p>
        </w:tc>
        <w:tc>
          <w:tcPr>
            <w:tcW w:w="861"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Ex Post Impact</w:t>
            </w:r>
          </w:p>
        </w:tc>
        <w:tc>
          <w:tcPr>
            <w:tcW w:w="1708"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Ex Post Impact with Ex Ante Enrollment</w:t>
            </w:r>
          </w:p>
        </w:tc>
        <w:tc>
          <w:tcPr>
            <w:tcW w:w="1800"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Ex Ante Model Ex Post Weather and Event Window</w:t>
            </w:r>
          </w:p>
        </w:tc>
        <w:tc>
          <w:tcPr>
            <w:tcW w:w="1769"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Ex Ante Model Ex Post Weather RA Event Window</w:t>
            </w:r>
          </w:p>
        </w:tc>
        <w:tc>
          <w:tcPr>
            <w:tcW w:w="787"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CAISO 1-in-2</w:t>
            </w:r>
          </w:p>
        </w:tc>
        <w:tc>
          <w:tcPr>
            <w:tcW w:w="727"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PG&amp;E 1-in-2</w:t>
            </w:r>
          </w:p>
        </w:tc>
        <w:tc>
          <w:tcPr>
            <w:tcW w:w="879" w:type="dxa"/>
            <w:tcBorders>
              <w:top w:val="single" w:sz="4" w:space="0" w:color="auto"/>
              <w:left w:val="nil"/>
              <w:bottom w:val="single" w:sz="4" w:space="0" w:color="FFFFFF"/>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CAISO 1-in-10</w:t>
            </w:r>
          </w:p>
        </w:tc>
        <w:tc>
          <w:tcPr>
            <w:tcW w:w="851" w:type="dxa"/>
            <w:tcBorders>
              <w:top w:val="single" w:sz="4" w:space="0" w:color="auto"/>
              <w:left w:val="nil"/>
              <w:bottom w:val="single" w:sz="4" w:space="0" w:color="FFFFFF"/>
              <w:right w:val="single" w:sz="4" w:space="0" w:color="auto"/>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PG&amp;E 1-in-10</w:t>
            </w:r>
          </w:p>
        </w:tc>
      </w:tr>
      <w:tr w:rsidR="00744453" w:rsidRPr="00744453" w:rsidTr="00744453">
        <w:trPr>
          <w:trHeight w:val="300"/>
          <w:jc w:val="center"/>
        </w:trPr>
        <w:tc>
          <w:tcPr>
            <w:tcW w:w="1106" w:type="dxa"/>
            <w:vMerge/>
            <w:tcBorders>
              <w:top w:val="single" w:sz="4" w:space="0" w:color="auto"/>
              <w:left w:val="single" w:sz="4" w:space="0" w:color="auto"/>
              <w:bottom w:val="single" w:sz="4" w:space="0" w:color="000000"/>
              <w:right w:val="single" w:sz="4" w:space="0" w:color="FFFFFF"/>
            </w:tcBorders>
            <w:vAlign w:val="center"/>
            <w:hideMark/>
          </w:tcPr>
          <w:p w:rsidR="00F20C77" w:rsidRPr="00744453" w:rsidRDefault="00F20C77" w:rsidP="00750605">
            <w:pPr>
              <w:spacing w:before="60" w:after="60" w:line="240" w:lineRule="auto"/>
              <w:rPr>
                <w:rFonts w:ascii="Arial" w:eastAsia="Times New Roman" w:hAnsi="Arial" w:cs="Arial"/>
                <w:b/>
                <w:bCs/>
                <w:color w:val="FFFFFF"/>
                <w:sz w:val="18"/>
                <w:szCs w:val="18"/>
              </w:rPr>
            </w:pPr>
          </w:p>
        </w:tc>
        <w:tc>
          <w:tcPr>
            <w:tcW w:w="1159"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(F)</w:t>
            </w:r>
          </w:p>
        </w:tc>
        <w:tc>
          <w:tcPr>
            <w:tcW w:w="861"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1708"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1800"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1769"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787"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727"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879" w:type="dxa"/>
            <w:tcBorders>
              <w:top w:val="nil"/>
              <w:left w:val="nil"/>
              <w:bottom w:val="single" w:sz="4" w:space="0" w:color="auto"/>
              <w:right w:val="single" w:sz="4" w:space="0" w:color="FFFFFF"/>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c>
          <w:tcPr>
            <w:tcW w:w="851" w:type="dxa"/>
            <w:tcBorders>
              <w:top w:val="nil"/>
              <w:left w:val="nil"/>
              <w:bottom w:val="single" w:sz="4" w:space="0" w:color="auto"/>
              <w:right w:val="single" w:sz="4" w:space="0" w:color="auto"/>
            </w:tcBorders>
            <w:shd w:val="clear" w:color="000000" w:fill="0070CD"/>
            <w:vAlign w:val="center"/>
            <w:hideMark/>
          </w:tcPr>
          <w:p w:rsidR="00F20C77" w:rsidRPr="00744453" w:rsidRDefault="00F20C77" w:rsidP="00750605">
            <w:pPr>
              <w:spacing w:before="60" w:after="6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(MW)</w:t>
            </w: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6/9/2014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77.8</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38.2</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44.2</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57.3</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50.0</w:t>
            </w:r>
          </w:p>
        </w:tc>
        <w:tc>
          <w:tcPr>
            <w:tcW w:w="7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46.4</w:t>
            </w:r>
          </w:p>
        </w:tc>
        <w:tc>
          <w:tcPr>
            <w:tcW w:w="7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49.7</w:t>
            </w:r>
          </w:p>
        </w:tc>
        <w:tc>
          <w:tcPr>
            <w:tcW w:w="8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50.3</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52.3</w:t>
            </w: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6/30/2014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77.0</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38.0</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43.8</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54.1</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46.8</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7/1/2014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73.2</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29.0</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33.4</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52.9</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46.9</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7/7/2014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71.7</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39.7</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45.7</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49.7</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43.5</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7/14/2014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76.9</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40.8</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47.0</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56.4</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49.2</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7/25/2014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76.9</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39.5</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45.4</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52.5</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45.0</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7/28/2014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74.6</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51.3</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59.1</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54.2</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47.7</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7/29/2014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75.3</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45.8</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52.8</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53.3</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46.5</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7/31/2014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74.6</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48.3</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55.7</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55.4</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49.0</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9/12/2014</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73.2</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39.1</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45.2</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48.3</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41.7</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r w:rsidR="00744453" w:rsidRPr="00744453" w:rsidTr="00744453">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Avg.</w:t>
            </w:r>
          </w:p>
        </w:tc>
        <w:tc>
          <w:tcPr>
            <w:tcW w:w="115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75.1</w:t>
            </w:r>
          </w:p>
        </w:tc>
        <w:tc>
          <w:tcPr>
            <w:tcW w:w="861"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41.0</w:t>
            </w:r>
          </w:p>
        </w:tc>
        <w:tc>
          <w:tcPr>
            <w:tcW w:w="1708"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47.2</w:t>
            </w:r>
          </w:p>
        </w:tc>
        <w:tc>
          <w:tcPr>
            <w:tcW w:w="1800"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53.4</w:t>
            </w:r>
          </w:p>
        </w:tc>
        <w:tc>
          <w:tcPr>
            <w:tcW w:w="1769" w:type="dxa"/>
            <w:tcBorders>
              <w:top w:val="nil"/>
              <w:left w:val="nil"/>
              <w:bottom w:val="single" w:sz="4" w:space="0" w:color="auto"/>
              <w:right w:val="single" w:sz="4" w:space="0" w:color="auto"/>
            </w:tcBorders>
            <w:shd w:val="clear" w:color="auto" w:fill="auto"/>
            <w:noWrap/>
            <w:vAlign w:val="bottom"/>
            <w:hideMark/>
          </w:tcPr>
          <w:p w:rsidR="00F20C77" w:rsidRPr="00744453" w:rsidRDefault="00F20C77" w:rsidP="00750605">
            <w:pPr>
              <w:spacing w:before="60" w:after="60" w:line="240" w:lineRule="auto"/>
              <w:jc w:val="center"/>
              <w:rPr>
                <w:rFonts w:ascii="Arial" w:eastAsia="Times New Roman" w:hAnsi="Arial" w:cs="Arial"/>
                <w:color w:val="000000"/>
                <w:sz w:val="18"/>
                <w:szCs w:val="18"/>
              </w:rPr>
            </w:pPr>
            <w:r w:rsidRPr="00744453">
              <w:rPr>
                <w:rFonts w:ascii="Arial" w:eastAsia="Times New Roman" w:hAnsi="Arial" w:cs="Arial"/>
                <w:color w:val="000000"/>
                <w:sz w:val="18"/>
                <w:szCs w:val="18"/>
              </w:rPr>
              <w:t>46.6</w:t>
            </w:r>
          </w:p>
        </w:tc>
        <w:tc>
          <w:tcPr>
            <w:tcW w:w="78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727"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79" w:type="dxa"/>
            <w:vMerge/>
            <w:tcBorders>
              <w:top w:val="nil"/>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20C77" w:rsidRPr="00744453" w:rsidRDefault="00F20C77" w:rsidP="00750605">
            <w:pPr>
              <w:spacing w:before="60" w:after="60" w:line="240" w:lineRule="auto"/>
              <w:rPr>
                <w:rFonts w:ascii="Arial" w:eastAsia="Times New Roman" w:hAnsi="Arial" w:cs="Arial"/>
                <w:color w:val="000000"/>
                <w:sz w:val="18"/>
                <w:szCs w:val="18"/>
              </w:rPr>
            </w:pPr>
          </w:p>
        </w:tc>
      </w:tr>
    </w:tbl>
    <w:p w:rsidR="002F6FA3" w:rsidRDefault="002F6FA3" w:rsidP="007F6BEB">
      <w:pPr>
        <w:pStyle w:val="BodyParagraph"/>
      </w:pPr>
    </w:p>
    <w:p w:rsidR="007C7B55" w:rsidRDefault="007C7B55" w:rsidP="007F6BEB">
      <w:pPr>
        <w:pStyle w:val="BodyParagraph"/>
      </w:pPr>
    </w:p>
    <w:p w:rsidR="006A7080" w:rsidRDefault="006A7080" w:rsidP="006A7080">
      <w:pPr>
        <w:pStyle w:val="Heading2"/>
        <w:ind w:left="576" w:hanging="576"/>
      </w:pPr>
      <w:bookmarkStart w:id="157" w:name="_Toc412650603"/>
      <w:bookmarkStart w:id="158" w:name="_Toc415494776"/>
      <w:r w:rsidRPr="007E27F3">
        <w:lastRenderedPageBreak/>
        <w:t>Medium</w:t>
      </w:r>
      <w:r>
        <w:t xml:space="preserve"> C&amp;I Ex Ante Impacts</w:t>
      </w:r>
      <w:bookmarkEnd w:id="150"/>
      <w:bookmarkEnd w:id="151"/>
      <w:bookmarkEnd w:id="153"/>
      <w:bookmarkEnd w:id="154"/>
      <w:bookmarkEnd w:id="157"/>
      <w:bookmarkEnd w:id="158"/>
    </w:p>
    <w:p w:rsidR="006A7080" w:rsidRDefault="006A7080" w:rsidP="006A7080">
      <w:pPr>
        <w:pStyle w:val="BodyParagraph"/>
        <w:tabs>
          <w:tab w:val="left" w:pos="4590"/>
        </w:tabs>
      </w:pPr>
      <w:r w:rsidRPr="00854013">
        <w:t>Overall, there is greater uncertainty regarding medium C&amp;I customer impacts under default CPP</w:t>
      </w:r>
      <w:proofErr w:type="gramStart"/>
      <w:r w:rsidRPr="00854013">
        <w:t xml:space="preserve">.  </w:t>
      </w:r>
      <w:proofErr w:type="gramEnd"/>
      <w:r w:rsidRPr="00854013">
        <w:t>To</w:t>
      </w:r>
      <w:r>
        <w:t> </w:t>
      </w:r>
      <w:r w:rsidRPr="00854013">
        <w:t>date, default CPP has been implemented on a very limited basis for medium customers and those medium C&amp;I customers who are on the rate are generally not representative of the medium C&amp;I sector as a whole</w:t>
      </w:r>
      <w:proofErr w:type="gramStart"/>
      <w:r w:rsidRPr="00854013">
        <w:t xml:space="preserve">.  </w:t>
      </w:r>
      <w:proofErr w:type="gramEnd"/>
      <w:r w:rsidRPr="00854013">
        <w:t>While some medium</w:t>
      </w:r>
      <w:r>
        <w:t xml:space="preserve"> customers volunteered onto CPP rates, their mix and demand reductions are not representative of the </w:t>
      </w:r>
      <w:r w:rsidR="00727F75">
        <w:t>current and future medium  default customer population</w:t>
      </w:r>
      <w:proofErr w:type="gramStart"/>
      <w:r>
        <w:t xml:space="preserve">.  </w:t>
      </w:r>
      <w:proofErr w:type="gramEnd"/>
      <w:r>
        <w:t>The few pilots that tested time varying pricing for small and medium businesses did not do so for default rates, but rather included only customers who volunteered into the pilots</w:t>
      </w:r>
      <w:proofErr w:type="gramStart"/>
      <w:r>
        <w:t xml:space="preserve">.  </w:t>
      </w:r>
      <w:proofErr w:type="gramEnd"/>
      <w:r>
        <w:t xml:space="preserve">Among such pilots is PG&amp;E’s </w:t>
      </w:r>
      <w:r w:rsidR="00727F75">
        <w:t>EEP</w:t>
      </w:r>
      <w:r>
        <w:t xml:space="preserve"> for small and medium CPP customers</w:t>
      </w:r>
      <w:proofErr w:type="gramStart"/>
      <w:r>
        <w:t xml:space="preserve">.  </w:t>
      </w:r>
      <w:proofErr w:type="gramEnd"/>
      <w:r>
        <w:t>In brief, the empirical data</w:t>
      </w:r>
      <w:r w:rsidR="002844CF">
        <w:t> </w:t>
      </w:r>
      <w:r>
        <w:t>on medi</w:t>
      </w:r>
      <w:r w:rsidR="00727F75">
        <w:t>um customer response is limited.</w:t>
      </w:r>
      <w:r>
        <w:t xml:space="preserve">  </w:t>
      </w:r>
    </w:p>
    <w:p w:rsidR="00727F75" w:rsidRDefault="006A7080" w:rsidP="006A7080">
      <w:pPr>
        <w:pStyle w:val="BodyParagraph"/>
        <w:tabs>
          <w:tab w:val="left" w:pos="4590"/>
        </w:tabs>
      </w:pPr>
      <w:r>
        <w:t xml:space="preserve">Previous studies show that customers who enroll on an opt-in basis </w:t>
      </w:r>
      <w:r w:rsidR="00933CBF">
        <w:t>tend to be</w:t>
      </w:r>
      <w:r>
        <w:t xml:space="preserve"> more engaged and deliver</w:t>
      </w:r>
      <w:r w:rsidR="00727F75">
        <w:t xml:space="preserve"> </w:t>
      </w:r>
      <w:r w:rsidR="0090466E">
        <w:t>significantly</w:t>
      </w:r>
      <w:r>
        <w:t xml:space="preserve"> larger percent reductions than those who enroll on a default basis</w:t>
      </w:r>
      <w:r w:rsidR="00727F75">
        <w:t>.</w:t>
      </w:r>
      <w:r w:rsidR="00727F75">
        <w:rPr>
          <w:rStyle w:val="FootnoteReference"/>
        </w:rPr>
        <w:footnoteReference w:id="21"/>
      </w:r>
      <w:proofErr w:type="gramStart"/>
      <w:r>
        <w:t xml:space="preserve">  </w:t>
      </w:r>
      <w:proofErr w:type="gramEnd"/>
      <w:r>
        <w:t>Nexant therefore used the EPP CPP percent reductions as an upper bound for the expected response of defaulted small and medium customers, and adjusted the overall percent reduction downward by about two</w:t>
      </w:r>
      <w:r w:rsidR="00F9581C">
        <w:t>-</w:t>
      </w:r>
      <w:r>
        <w:t>thirds</w:t>
      </w:r>
      <w:proofErr w:type="gramStart"/>
      <w:r>
        <w:t xml:space="preserve">.  </w:t>
      </w:r>
      <w:proofErr w:type="gramEnd"/>
      <w:r>
        <w:t>This yielded percent reductions of 2</w:t>
      </w:r>
      <w:r w:rsidR="00727F75">
        <w:t>%</w:t>
      </w:r>
      <w:r>
        <w:t xml:space="preserve"> and 1.5</w:t>
      </w:r>
      <w:r w:rsidR="00727F75">
        <w:t>%</w:t>
      </w:r>
      <w:r>
        <w:t xml:space="preserve"> for small and medium customers respectively</w:t>
      </w:r>
      <w:proofErr w:type="gramStart"/>
      <w:r>
        <w:t xml:space="preserve">. </w:t>
      </w:r>
      <w:r w:rsidR="00F9581C">
        <w:t xml:space="preserve"> </w:t>
      </w:r>
      <w:proofErr w:type="gramEnd"/>
      <w:r>
        <w:t xml:space="preserve">The reference loads were developed by using a sample of </w:t>
      </w:r>
      <w:r w:rsidR="0090466E">
        <w:t xml:space="preserve">interval data for </w:t>
      </w:r>
      <w:r>
        <w:t xml:space="preserve">customers </w:t>
      </w:r>
      <w:r w:rsidR="0090466E">
        <w:t>that were defaulted in November 2014</w:t>
      </w:r>
      <w:r>
        <w:t xml:space="preserve"> and estimating reference loads for them within each LCA</w:t>
      </w:r>
      <w:proofErr w:type="gramStart"/>
      <w:r>
        <w:t xml:space="preserve">.  </w:t>
      </w:r>
      <w:proofErr w:type="gramEnd"/>
      <w:r>
        <w:t>We simply applied the</w:t>
      </w:r>
      <w:r w:rsidR="002844CF">
        <w:t> </w:t>
      </w:r>
      <w:r>
        <w:t xml:space="preserve">percent reductions to </w:t>
      </w:r>
      <w:r w:rsidR="0090466E">
        <w:t>the reference l</w:t>
      </w:r>
      <w:r>
        <w:t>oads.</w:t>
      </w:r>
    </w:p>
    <w:p w:rsidR="006A7080" w:rsidRDefault="007C7B55" w:rsidP="006A7080">
      <w:pPr>
        <w:pStyle w:val="BodyParagraph"/>
        <w:tabs>
          <w:tab w:val="left" w:pos="4590"/>
        </w:tabs>
      </w:pPr>
      <w:r>
        <w:t>Table 5-9</w:t>
      </w:r>
      <w:r w:rsidR="006A7080">
        <w:t xml:space="preserve"> presents PG&amp;E's enrollment projections for medium C&amp;I customers through 2025</w:t>
      </w:r>
      <w:proofErr w:type="gramStart"/>
      <w:r w:rsidR="006A7080">
        <w:t xml:space="preserve">.  </w:t>
      </w:r>
      <w:proofErr w:type="gramEnd"/>
      <w:r w:rsidR="0090466E">
        <w:t>In</w:t>
      </w:r>
      <w:r w:rsidR="00F9581C">
        <w:t> </w:t>
      </w:r>
      <w:r w:rsidR="0090466E">
        <w:t>November 2015 and 2016</w:t>
      </w:r>
      <w:r w:rsidR="006A7080">
        <w:t>, medium C&amp;I customers with at least 24-months of experience on</w:t>
      </w:r>
      <w:r w:rsidR="00F9581C">
        <w:t> </w:t>
      </w:r>
      <w:r w:rsidR="006A7080">
        <w:t>a TOU rate will be defaulted onto CPP, leading to the increase in enrollment</w:t>
      </w:r>
      <w:r w:rsidR="0090466E">
        <w:t xml:space="preserve"> during those months</w:t>
      </w:r>
      <w:proofErr w:type="gramStart"/>
      <w:r w:rsidR="004F5623">
        <w:t>.</w:t>
      </w:r>
      <w:r w:rsidR="006A7080">
        <w:t xml:space="preserve">  </w:t>
      </w:r>
      <w:proofErr w:type="gramEnd"/>
      <w:r w:rsidR="0090466E">
        <w:t xml:space="preserve">Of the customers who were already defaulted in </w:t>
      </w:r>
      <w:r w:rsidR="006A7080">
        <w:t>November 2014, 20,267 medium C&amp;I</w:t>
      </w:r>
      <w:r w:rsidR="00F9581C">
        <w:t> </w:t>
      </w:r>
      <w:r w:rsidR="006A7080">
        <w:t>customers are projected to remain on CPP</w:t>
      </w:r>
      <w:proofErr w:type="gramStart"/>
      <w:r w:rsidR="006A7080">
        <w:t xml:space="preserve">.  </w:t>
      </w:r>
      <w:proofErr w:type="gramEnd"/>
      <w:r w:rsidR="006A7080">
        <w:t>By November 201</w:t>
      </w:r>
      <w:r w:rsidR="0090466E">
        <w:t>5</w:t>
      </w:r>
      <w:r w:rsidR="006A7080">
        <w:t xml:space="preserve">, the medium C&amp;I population is expected to reach enrollment of </w:t>
      </w:r>
      <w:r w:rsidR="0090466E">
        <w:t>27,014</w:t>
      </w:r>
      <w:r w:rsidR="006A7080">
        <w:t xml:space="preserve"> accounts</w:t>
      </w:r>
      <w:r w:rsidR="0090466E">
        <w:t>, and 37,579 by November 2016</w:t>
      </w:r>
      <w:proofErr w:type="gramStart"/>
      <w:r w:rsidR="006A7080">
        <w:t>.</w:t>
      </w:r>
      <w:r w:rsidR="00F9581C">
        <w:t> </w:t>
      </w:r>
      <w:r w:rsidR="006A7080">
        <w:t xml:space="preserve"> </w:t>
      </w:r>
      <w:proofErr w:type="gramEnd"/>
      <w:r w:rsidR="006A7080">
        <w:t xml:space="preserve">The enrollment is expected to increase slowly thereafter as </w:t>
      </w:r>
      <w:r w:rsidR="0090466E">
        <w:t>a result of growth in accounts</w:t>
      </w:r>
      <w:proofErr w:type="gramStart"/>
      <w:r w:rsidR="006A7080">
        <w:t xml:space="preserve">.  </w:t>
      </w:r>
      <w:proofErr w:type="gramEnd"/>
      <w:r w:rsidR="006A7080">
        <w:t>The development and assumptions of PG&amp;E’s medium C&amp;I CPP enrollment forecast</w:t>
      </w:r>
      <w:r w:rsidR="00F9581C">
        <w:t> </w:t>
      </w:r>
      <w:r w:rsidR="006A7080">
        <w:t xml:space="preserve">are documented in PG&amp;E’s </w:t>
      </w:r>
      <w:r w:rsidR="006A7080">
        <w:rPr>
          <w:i/>
        </w:rPr>
        <w:t>Executive Summary: 2015–2025</w:t>
      </w:r>
      <w:r w:rsidR="006A7080" w:rsidRPr="0041579B">
        <w:rPr>
          <w:i/>
        </w:rPr>
        <w:t xml:space="preserve"> Demand Response Portfolio of Pacific Gas and Electric Company</w:t>
      </w:r>
      <w:r w:rsidR="006A7080" w:rsidRPr="0041579B">
        <w:t>.</w:t>
      </w:r>
    </w:p>
    <w:p w:rsidR="006A7080" w:rsidRPr="002617A0" w:rsidRDefault="006A7080" w:rsidP="006A7080">
      <w:pPr>
        <w:pStyle w:val="TableFigureCaption"/>
        <w:spacing w:after="0"/>
      </w:pPr>
      <w:r w:rsidRPr="002617A0">
        <w:t>Table 5</w:t>
      </w:r>
      <w:r w:rsidR="007C7B55">
        <w:t>-9</w:t>
      </w:r>
      <w:r w:rsidRPr="002617A0">
        <w:t xml:space="preserve">: PG&amp;E Enrollment Projections for Medium </w:t>
      </w:r>
      <w:proofErr w:type="gramStart"/>
      <w:r w:rsidRPr="002617A0">
        <w:t>C&amp;I</w:t>
      </w:r>
      <w:proofErr w:type="gramEnd"/>
      <w:r w:rsidRPr="002617A0">
        <w:t xml:space="preserve"> CPP Customers</w:t>
      </w:r>
    </w:p>
    <w:p w:rsidR="006A7080" w:rsidRDefault="006A7080" w:rsidP="006A7080">
      <w:pPr>
        <w:pStyle w:val="TableFigureCaption"/>
      </w:pPr>
      <w:proofErr w:type="gramStart"/>
      <w:r w:rsidRPr="002617A0">
        <w:t>by</w:t>
      </w:r>
      <w:proofErr w:type="gramEnd"/>
      <w:r w:rsidRPr="002617A0">
        <w:t xml:space="preserve"> Forecast Year and Month</w:t>
      </w:r>
    </w:p>
    <w:tbl>
      <w:tblPr>
        <w:tblW w:w="10626" w:type="dxa"/>
        <w:jc w:val="center"/>
        <w:tblInd w:w="93" w:type="dxa"/>
        <w:tblLayout w:type="fixed"/>
        <w:tblLook w:val="04A0" w:firstRow="1" w:lastRow="0" w:firstColumn="1" w:lastColumn="0" w:noHBand="0" w:noVBand="1"/>
      </w:tblPr>
      <w:tblGrid>
        <w:gridCol w:w="817"/>
        <w:gridCol w:w="817"/>
        <w:gridCol w:w="818"/>
        <w:gridCol w:w="817"/>
        <w:gridCol w:w="817"/>
        <w:gridCol w:w="818"/>
        <w:gridCol w:w="817"/>
        <w:gridCol w:w="818"/>
        <w:gridCol w:w="817"/>
        <w:gridCol w:w="817"/>
        <w:gridCol w:w="818"/>
        <w:gridCol w:w="817"/>
        <w:gridCol w:w="818"/>
      </w:tblGrid>
      <w:tr w:rsidR="006A7080" w:rsidRPr="0090466E" w:rsidTr="0090466E">
        <w:trPr>
          <w:trHeight w:val="300"/>
          <w:jc w:val="center"/>
        </w:trPr>
        <w:tc>
          <w:tcPr>
            <w:tcW w:w="817" w:type="dxa"/>
            <w:tcBorders>
              <w:top w:val="single" w:sz="4" w:space="0" w:color="000000"/>
              <w:left w:val="single" w:sz="4" w:space="0" w:color="000000"/>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bookmarkStart w:id="159" w:name="_Toc289178034"/>
            <w:bookmarkStart w:id="160" w:name="_Toc326072134"/>
            <w:bookmarkStart w:id="161" w:name="_Toc350845370"/>
            <w:bookmarkStart w:id="162" w:name="_Toc352323658"/>
            <w:r w:rsidRPr="0090466E">
              <w:rPr>
                <w:rFonts w:eastAsia="Times New Roman"/>
                <w:sz w:val="18"/>
                <w:szCs w:val="18"/>
              </w:rPr>
              <w:t>Year</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Jan.</w:t>
            </w:r>
          </w:p>
        </w:tc>
        <w:tc>
          <w:tcPr>
            <w:tcW w:w="818"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Feb.</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Mar.</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Apr.</w:t>
            </w:r>
          </w:p>
        </w:tc>
        <w:tc>
          <w:tcPr>
            <w:tcW w:w="818"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May</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Jun.</w:t>
            </w:r>
          </w:p>
        </w:tc>
        <w:tc>
          <w:tcPr>
            <w:tcW w:w="818"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Jul.</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Aug.</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Sep.</w:t>
            </w:r>
          </w:p>
        </w:tc>
        <w:tc>
          <w:tcPr>
            <w:tcW w:w="818"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Oct.</w:t>
            </w:r>
          </w:p>
        </w:tc>
        <w:tc>
          <w:tcPr>
            <w:tcW w:w="81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Nov.</w:t>
            </w:r>
          </w:p>
        </w:tc>
        <w:tc>
          <w:tcPr>
            <w:tcW w:w="818" w:type="dxa"/>
            <w:tcBorders>
              <w:top w:val="single" w:sz="4" w:space="0" w:color="000000"/>
              <w:left w:val="nil"/>
              <w:bottom w:val="single" w:sz="4" w:space="0" w:color="000000"/>
              <w:right w:val="single" w:sz="4" w:space="0" w:color="000000"/>
            </w:tcBorders>
            <w:shd w:val="clear" w:color="auto" w:fill="0070CD"/>
            <w:noWrap/>
            <w:vAlign w:val="center"/>
            <w:hideMark/>
          </w:tcPr>
          <w:p w:rsidR="006A7080" w:rsidRPr="0090466E" w:rsidRDefault="006A7080" w:rsidP="00283EC7">
            <w:pPr>
              <w:pStyle w:val="TableHeader"/>
              <w:rPr>
                <w:rFonts w:eastAsia="Times New Roman"/>
                <w:sz w:val="18"/>
                <w:szCs w:val="18"/>
              </w:rPr>
            </w:pPr>
            <w:r w:rsidRPr="0090466E">
              <w:rPr>
                <w:rFonts w:eastAsia="Times New Roman"/>
                <w:sz w:val="18"/>
                <w:szCs w:val="18"/>
              </w:rPr>
              <w:t>Dec.</w:t>
            </w:r>
          </w:p>
        </w:tc>
      </w:tr>
      <w:tr w:rsidR="006A7080" w:rsidRPr="0090466E" w:rsidTr="0090466E">
        <w:trPr>
          <w:trHeight w:val="300"/>
          <w:jc w:val="center"/>
        </w:trPr>
        <w:tc>
          <w:tcPr>
            <w:tcW w:w="817"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2015</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20,267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r>
      <w:tr w:rsidR="006A7080" w:rsidRPr="0090466E" w:rsidTr="0090466E">
        <w:trPr>
          <w:trHeight w:val="300"/>
          <w:jc w:val="center"/>
        </w:trPr>
        <w:tc>
          <w:tcPr>
            <w:tcW w:w="817"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2016</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27,014</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r>
      <w:tr w:rsidR="006A7080" w:rsidRPr="0090466E" w:rsidTr="0090466E">
        <w:trPr>
          <w:trHeight w:val="300"/>
          <w:jc w:val="center"/>
        </w:trPr>
        <w:tc>
          <w:tcPr>
            <w:tcW w:w="817"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2017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37,579</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38,531</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38,531</w:t>
            </w:r>
          </w:p>
        </w:tc>
      </w:tr>
      <w:tr w:rsidR="006A7080" w:rsidRPr="0090466E" w:rsidTr="0090466E">
        <w:trPr>
          <w:trHeight w:val="300"/>
          <w:jc w:val="center"/>
        </w:trPr>
        <w:tc>
          <w:tcPr>
            <w:tcW w:w="817"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2025</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39,677</w:t>
            </w:r>
          </w:p>
        </w:tc>
        <w:tc>
          <w:tcPr>
            <w:tcW w:w="817"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39,863</w:t>
            </w:r>
          </w:p>
        </w:tc>
        <w:tc>
          <w:tcPr>
            <w:tcW w:w="818" w:type="dxa"/>
            <w:tcBorders>
              <w:top w:val="nil"/>
              <w:left w:val="nil"/>
              <w:bottom w:val="single" w:sz="4" w:space="0" w:color="000000"/>
              <w:right w:val="single" w:sz="4" w:space="0" w:color="000000"/>
            </w:tcBorders>
            <w:shd w:val="clear" w:color="auto" w:fill="auto"/>
            <w:noWrap/>
            <w:vAlign w:val="center"/>
            <w:hideMark/>
          </w:tcPr>
          <w:p w:rsidR="006A7080" w:rsidRPr="0090466E" w:rsidRDefault="006A7080" w:rsidP="00283EC7">
            <w:pPr>
              <w:pStyle w:val="TableText"/>
              <w:rPr>
                <w:rFonts w:eastAsia="Times New Roman"/>
                <w:sz w:val="18"/>
                <w:szCs w:val="18"/>
              </w:rPr>
            </w:pPr>
            <w:r w:rsidRPr="0090466E">
              <w:rPr>
                <w:rFonts w:eastAsia="Times New Roman"/>
                <w:sz w:val="18"/>
                <w:szCs w:val="18"/>
              </w:rPr>
              <w:t>39,863</w:t>
            </w:r>
          </w:p>
        </w:tc>
      </w:tr>
    </w:tbl>
    <w:p w:rsidR="006A7080" w:rsidRPr="004C65EF" w:rsidRDefault="006A7080" w:rsidP="004C53F1">
      <w:pPr>
        <w:pStyle w:val="Heading3"/>
        <w:rPr>
          <w:rFonts w:cs="Calibri"/>
        </w:rPr>
      </w:pPr>
      <w:bookmarkStart w:id="163" w:name="_Toc412650604"/>
      <w:bookmarkStart w:id="164" w:name="_Toc415494777"/>
      <w:r w:rsidRPr="004C65EF">
        <w:lastRenderedPageBreak/>
        <w:t>Annual System Peak Day Impacts</w:t>
      </w:r>
      <w:bookmarkEnd w:id="159"/>
      <w:bookmarkEnd w:id="160"/>
      <w:bookmarkEnd w:id="161"/>
      <w:bookmarkEnd w:id="162"/>
      <w:bookmarkEnd w:id="163"/>
      <w:bookmarkEnd w:id="164"/>
    </w:p>
    <w:p w:rsidR="006A7080" w:rsidRPr="004C65EF" w:rsidRDefault="006A7080" w:rsidP="006A7080">
      <w:pPr>
        <w:pStyle w:val="BodyParagraph"/>
      </w:pPr>
      <w:r w:rsidRPr="004C65EF">
        <w:t>Table</w:t>
      </w:r>
      <w:r w:rsidR="007C7B55">
        <w:t xml:space="preserve"> 5-10</w:t>
      </w:r>
      <w:r w:rsidRPr="004C65EF">
        <w:t xml:space="preserve"> summarizes the aggregate load impact estimates for medium C&amp;I customers on PG&amp;E’s CPP rate for each forecast year under both 1-in-2 and 1-in-10</w:t>
      </w:r>
      <w:r>
        <w:t xml:space="preserve"> year</w:t>
      </w:r>
      <w:r w:rsidRPr="004C65EF">
        <w:t xml:space="preserve"> weath</w:t>
      </w:r>
      <w:r>
        <w:t>er</w:t>
      </w:r>
      <w:r w:rsidRPr="004C65EF">
        <w:t xml:space="preserve"> scenarios</w:t>
      </w:r>
      <w:r>
        <w:t xml:space="preserve"> based on both PG&amp;E and CAISO weather scenarios</w:t>
      </w:r>
      <w:proofErr w:type="gramStart"/>
      <w:r w:rsidRPr="004C65EF">
        <w:t xml:space="preserve">.  </w:t>
      </w:r>
      <w:proofErr w:type="gramEnd"/>
      <w:r w:rsidRPr="004C65EF">
        <w:t>The table shows the average load reduction across the 1</w:t>
      </w:r>
      <w:r>
        <w:t xml:space="preserve"> to </w:t>
      </w:r>
      <w:r w:rsidRPr="004C65EF">
        <w:t>6 PM event period for an August monthly system peak day.</w:t>
      </w:r>
    </w:p>
    <w:p w:rsidR="00283EC7" w:rsidRDefault="006A7080" w:rsidP="006A7080">
      <w:pPr>
        <w:pStyle w:val="BodyParagraph"/>
      </w:pPr>
      <w:r>
        <w:t>Looking first at the aggregate load impacts based on PG&amp;E-specifi</w:t>
      </w:r>
      <w:r w:rsidR="00D015F2">
        <w:t xml:space="preserve">c weather, August load reductions </w:t>
      </w:r>
      <w:r w:rsidR="00F9581C">
        <w:t xml:space="preserve">will </w:t>
      </w:r>
      <w:r w:rsidR="00D015F2">
        <w:t>gr</w:t>
      </w:r>
      <w:r w:rsidR="00F9581C">
        <w:t>o</w:t>
      </w:r>
      <w:r w:rsidR="00D015F2">
        <w:t>w</w:t>
      </w:r>
      <w:r w:rsidRPr="004C65EF">
        <w:t xml:space="preserve"> </w:t>
      </w:r>
      <w:r w:rsidR="00AD58BD">
        <w:t>from 6.5</w:t>
      </w:r>
      <w:r w:rsidR="00D015F2">
        <w:t xml:space="preserve"> MW </w:t>
      </w:r>
      <w:r w:rsidR="00AD58BD">
        <w:t>to around 14</w:t>
      </w:r>
      <w:r>
        <w:t xml:space="preserve"> MW in 2017 under 1-in-10</w:t>
      </w:r>
      <w:r w:rsidRPr="004C65EF">
        <w:t xml:space="preserve"> weather conditions</w:t>
      </w:r>
      <w:r w:rsidR="00AD58BD">
        <w:t>, and peak at 15</w:t>
      </w:r>
      <w:r>
        <w:t xml:space="preserve"> MW in 2025</w:t>
      </w:r>
      <w:proofErr w:type="gramStart"/>
      <w:r w:rsidRPr="004C65EF">
        <w:t xml:space="preserve">.  </w:t>
      </w:r>
      <w:proofErr w:type="gramEnd"/>
      <w:r>
        <w:t xml:space="preserve">This growth is due to </w:t>
      </w:r>
      <w:r w:rsidRPr="004C65EF">
        <w:t xml:space="preserve">the implementation </w:t>
      </w:r>
      <w:r>
        <w:t xml:space="preserve">of default CPP over </w:t>
      </w:r>
      <w:r w:rsidR="00D015F2">
        <w:t>two more Novembers</w:t>
      </w:r>
      <w:r>
        <w:t xml:space="preserve"> </w:t>
      </w:r>
      <w:r w:rsidRPr="004C65EF">
        <w:t>as more medium C&amp;I customers meet default criteria</w:t>
      </w:r>
      <w:proofErr w:type="gramStart"/>
      <w:r w:rsidRPr="004C65EF">
        <w:t xml:space="preserve">. </w:t>
      </w:r>
      <w:r>
        <w:t xml:space="preserve"> </w:t>
      </w:r>
      <w:proofErr w:type="gramEnd"/>
      <w:r w:rsidR="00F9581C">
        <w:t>After</w:t>
      </w:r>
      <w:r w:rsidR="00F9581C" w:rsidRPr="004C65EF">
        <w:t xml:space="preserve"> </w:t>
      </w:r>
      <w:r w:rsidRPr="004C65EF">
        <w:t>default CPP is fully implemented, medium customers are foreca</w:t>
      </w:r>
      <w:r w:rsidR="00AD58BD">
        <w:t>sted to reduce 1.2</w:t>
      </w:r>
      <w:r w:rsidRPr="004C65EF">
        <w:t>% of their demand under</w:t>
      </w:r>
      <w:r>
        <w:t xml:space="preserve"> all weather conditions</w:t>
      </w:r>
      <w:proofErr w:type="gramStart"/>
      <w:r w:rsidRPr="004C65EF">
        <w:t>.</w:t>
      </w:r>
      <w:r>
        <w:t xml:space="preserve">  </w:t>
      </w:r>
      <w:proofErr w:type="gramEnd"/>
      <w:r>
        <w:t>The estimated percent reductions are constant as enrollment increas</w:t>
      </w:r>
      <w:r w:rsidR="00D015F2">
        <w:t>es. Impact estimates based on C</w:t>
      </w:r>
      <w:r>
        <w:t>A</w:t>
      </w:r>
      <w:r w:rsidR="00D015F2">
        <w:t>I</w:t>
      </w:r>
      <w:r>
        <w:t>SO weather 1-in-2 year conditions are roughly 8% less than the estimates based on PG&amp;E weather</w:t>
      </w:r>
      <w:proofErr w:type="gramStart"/>
      <w:r>
        <w:t xml:space="preserve">.  </w:t>
      </w:r>
      <w:proofErr w:type="gramEnd"/>
      <w:r>
        <w:t xml:space="preserve">The </w:t>
      </w:r>
      <w:r w:rsidR="00143965">
        <w:t xml:space="preserve">CAISO </w:t>
      </w:r>
      <w:r>
        <w:t>1-in-10 weather values produce a</w:t>
      </w:r>
      <w:r w:rsidR="00D015F2">
        <w:t xml:space="preserve"> load reduction that is about 5</w:t>
      </w:r>
      <w:r>
        <w:t>% less than the 1-in-10 year PG&amp;E estimates.</w:t>
      </w:r>
    </w:p>
    <w:p w:rsidR="006A7080" w:rsidRDefault="007C7B55" w:rsidP="006A7080">
      <w:pPr>
        <w:pStyle w:val="TableFigureCaption"/>
      </w:pPr>
      <w:r>
        <w:t>Table 5-10</w:t>
      </w:r>
      <w:r w:rsidR="006A7080" w:rsidRPr="00817826">
        <w:t xml:space="preserve">: </w:t>
      </w:r>
      <w:r w:rsidR="006A7080">
        <w:t xml:space="preserve">Aggregate </w:t>
      </w:r>
      <w:r w:rsidR="006A7080" w:rsidRPr="00817826">
        <w:t>Default CPP Ex Ante Load Impact Estimates by Weather Scenario for Medium C&amp;I</w:t>
      </w:r>
      <w:r w:rsidR="00D015F2">
        <w:t xml:space="preserve">, </w:t>
      </w:r>
      <w:r w:rsidR="006A7080" w:rsidRPr="00817826">
        <w:t>PG&amp;E August System Peak Day (</w:t>
      </w:r>
      <w:r w:rsidR="00D015F2">
        <w:t>1-</w:t>
      </w:r>
      <w:r w:rsidR="006A7080" w:rsidRPr="00817826">
        <w:t>6 PM)</w:t>
      </w:r>
    </w:p>
    <w:tbl>
      <w:tblPr>
        <w:tblW w:w="10127" w:type="dxa"/>
        <w:jc w:val="center"/>
        <w:tblInd w:w="-218" w:type="dxa"/>
        <w:tblLayout w:type="fixed"/>
        <w:tblLook w:val="04A0" w:firstRow="1" w:lastRow="0" w:firstColumn="1" w:lastColumn="0" w:noHBand="0" w:noVBand="1"/>
      </w:tblPr>
      <w:tblGrid>
        <w:gridCol w:w="1033"/>
        <w:gridCol w:w="1019"/>
        <w:gridCol w:w="781"/>
        <w:gridCol w:w="1116"/>
        <w:gridCol w:w="1317"/>
        <w:gridCol w:w="1334"/>
        <w:gridCol w:w="1286"/>
        <w:gridCol w:w="1170"/>
        <w:gridCol w:w="1071"/>
      </w:tblGrid>
      <w:tr w:rsidR="008028DC" w:rsidRPr="00AD58BD" w:rsidTr="008028DC">
        <w:trPr>
          <w:trHeight w:val="872"/>
          <w:jc w:val="center"/>
        </w:trPr>
        <w:tc>
          <w:tcPr>
            <w:tcW w:w="1033"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bookmarkStart w:id="165" w:name="_Toc289178036"/>
            <w:bookmarkStart w:id="166" w:name="_Toc326072136"/>
            <w:bookmarkStart w:id="167" w:name="_Toc350845372"/>
            <w:bookmarkStart w:id="168" w:name="_Toc352323660"/>
            <w:bookmarkStart w:id="169" w:name="_Toc412650605"/>
            <w:r w:rsidRPr="00AD58BD">
              <w:rPr>
                <w:rFonts w:ascii="Arial" w:eastAsia="Times New Roman" w:hAnsi="Arial" w:cs="Arial"/>
                <w:b/>
                <w:bCs/>
                <w:color w:val="FFFFFF"/>
                <w:sz w:val="18"/>
                <w:szCs w:val="18"/>
              </w:rPr>
              <w:t>Weather Type</w:t>
            </w:r>
          </w:p>
        </w:tc>
        <w:tc>
          <w:tcPr>
            <w:tcW w:w="1019"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Weather Year</w:t>
            </w:r>
          </w:p>
        </w:tc>
        <w:tc>
          <w:tcPr>
            <w:tcW w:w="781"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Year</w:t>
            </w:r>
          </w:p>
        </w:tc>
        <w:tc>
          <w:tcPr>
            <w:tcW w:w="1116"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Enrolled Accounts</w:t>
            </w:r>
          </w:p>
        </w:tc>
        <w:tc>
          <w:tcPr>
            <w:tcW w:w="1317" w:type="dxa"/>
            <w:tcBorders>
              <w:top w:val="single" w:sz="4" w:space="0" w:color="auto"/>
              <w:left w:val="nil"/>
              <w:bottom w:val="single" w:sz="4" w:space="0" w:color="FFFFFF"/>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Aggregate Reference Load</w:t>
            </w:r>
          </w:p>
        </w:tc>
        <w:tc>
          <w:tcPr>
            <w:tcW w:w="1334" w:type="dxa"/>
            <w:tcBorders>
              <w:top w:val="single" w:sz="4" w:space="0" w:color="auto"/>
              <w:left w:val="nil"/>
              <w:bottom w:val="single" w:sz="4" w:space="0" w:color="FFFFFF"/>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Aggregate Estimated Load w/ DR</w:t>
            </w:r>
          </w:p>
        </w:tc>
        <w:tc>
          <w:tcPr>
            <w:tcW w:w="1286" w:type="dxa"/>
            <w:tcBorders>
              <w:top w:val="single" w:sz="4" w:space="0" w:color="auto"/>
              <w:left w:val="nil"/>
              <w:bottom w:val="single" w:sz="4" w:space="0" w:color="FFFFFF"/>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Aggregate Load Impact</w:t>
            </w:r>
          </w:p>
        </w:tc>
        <w:tc>
          <w:tcPr>
            <w:tcW w:w="1170" w:type="dxa"/>
            <w:tcBorders>
              <w:top w:val="single" w:sz="4" w:space="0" w:color="auto"/>
              <w:left w:val="nil"/>
              <w:bottom w:val="single" w:sz="4" w:space="0" w:color="FFFFFF"/>
              <w:right w:val="single" w:sz="4" w:space="0" w:color="FFFFFF"/>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 Load Reduction</w:t>
            </w:r>
          </w:p>
        </w:tc>
        <w:tc>
          <w:tcPr>
            <w:tcW w:w="1071" w:type="dxa"/>
            <w:tcBorders>
              <w:top w:val="single" w:sz="4" w:space="0" w:color="auto"/>
              <w:left w:val="nil"/>
              <w:bottom w:val="single" w:sz="4" w:space="0" w:color="FFFFFF"/>
              <w:right w:val="single" w:sz="4" w:space="0" w:color="auto"/>
            </w:tcBorders>
            <w:shd w:val="clear" w:color="000000" w:fill="0070D0"/>
            <w:vAlign w:val="center"/>
            <w:hideMark/>
          </w:tcPr>
          <w:p w:rsidR="00AD58BD" w:rsidRPr="00AD58BD" w:rsidRDefault="00AD58BD" w:rsidP="00750605">
            <w:pPr>
              <w:spacing w:before="60" w:after="60" w:line="240" w:lineRule="auto"/>
              <w:jc w:val="center"/>
              <w:rPr>
                <w:rFonts w:ascii="Arial" w:eastAsia="Times New Roman" w:hAnsi="Arial" w:cs="Arial"/>
                <w:b/>
                <w:bCs/>
                <w:color w:val="FFFFFF"/>
                <w:sz w:val="18"/>
                <w:szCs w:val="18"/>
              </w:rPr>
            </w:pPr>
            <w:r w:rsidRPr="00AD58BD">
              <w:rPr>
                <w:rFonts w:ascii="Arial" w:eastAsia="Times New Roman" w:hAnsi="Arial" w:cs="Arial"/>
                <w:b/>
                <w:bCs/>
                <w:color w:val="FFFFFF"/>
                <w:sz w:val="18"/>
                <w:szCs w:val="18"/>
              </w:rPr>
              <w:t>Weighted Temp.</w:t>
            </w:r>
          </w:p>
        </w:tc>
      </w:tr>
      <w:tr w:rsidR="008028DC" w:rsidRPr="00AD58BD" w:rsidTr="008028DC">
        <w:trPr>
          <w:trHeight w:val="480"/>
          <w:jc w:val="center"/>
        </w:trPr>
        <w:tc>
          <w:tcPr>
            <w:tcW w:w="1033" w:type="dxa"/>
            <w:vMerge/>
            <w:tcBorders>
              <w:top w:val="single" w:sz="4" w:space="0" w:color="auto"/>
              <w:left w:val="single" w:sz="4" w:space="0" w:color="auto"/>
              <w:bottom w:val="single" w:sz="4" w:space="0" w:color="000000"/>
              <w:right w:val="single" w:sz="4" w:space="0" w:color="FFFFFF"/>
            </w:tcBorders>
            <w:vAlign w:val="center"/>
            <w:hideMark/>
          </w:tcPr>
          <w:p w:rsidR="00AD58BD" w:rsidRPr="00AD58BD" w:rsidRDefault="00AD58BD" w:rsidP="00750605">
            <w:pPr>
              <w:spacing w:before="60" w:after="60" w:line="240" w:lineRule="auto"/>
              <w:rPr>
                <w:rFonts w:ascii="Arial" w:eastAsia="Times New Roman" w:hAnsi="Arial" w:cs="Arial"/>
                <w:b/>
                <w:bCs/>
                <w:color w:val="FFFFFF"/>
                <w:sz w:val="18"/>
                <w:szCs w:val="18"/>
              </w:rPr>
            </w:pPr>
          </w:p>
        </w:tc>
        <w:tc>
          <w:tcPr>
            <w:tcW w:w="1019" w:type="dxa"/>
            <w:vMerge/>
            <w:tcBorders>
              <w:top w:val="single" w:sz="4" w:space="0" w:color="auto"/>
              <w:left w:val="single" w:sz="4" w:space="0" w:color="FFFFFF"/>
              <w:bottom w:val="single" w:sz="4" w:space="0" w:color="000000"/>
              <w:right w:val="single" w:sz="4" w:space="0" w:color="FFFFFF"/>
            </w:tcBorders>
            <w:vAlign w:val="center"/>
            <w:hideMark/>
          </w:tcPr>
          <w:p w:rsidR="00AD58BD" w:rsidRPr="00AD58BD" w:rsidRDefault="00AD58BD" w:rsidP="00750605">
            <w:pPr>
              <w:spacing w:before="60" w:after="60" w:line="240" w:lineRule="auto"/>
              <w:rPr>
                <w:rFonts w:ascii="Arial" w:eastAsia="Times New Roman" w:hAnsi="Arial" w:cs="Arial"/>
                <w:b/>
                <w:bCs/>
                <w:color w:val="FFFFFF"/>
                <w:sz w:val="18"/>
                <w:szCs w:val="18"/>
              </w:rPr>
            </w:pPr>
          </w:p>
        </w:tc>
        <w:tc>
          <w:tcPr>
            <w:tcW w:w="781" w:type="dxa"/>
            <w:vMerge/>
            <w:tcBorders>
              <w:top w:val="single" w:sz="4" w:space="0" w:color="auto"/>
              <w:left w:val="single" w:sz="4" w:space="0" w:color="FFFFFF"/>
              <w:bottom w:val="single" w:sz="4" w:space="0" w:color="000000"/>
              <w:right w:val="single" w:sz="4" w:space="0" w:color="FFFFFF"/>
            </w:tcBorders>
            <w:vAlign w:val="center"/>
            <w:hideMark/>
          </w:tcPr>
          <w:p w:rsidR="00AD58BD" w:rsidRPr="00AD58BD" w:rsidRDefault="00AD58BD" w:rsidP="00750605">
            <w:pPr>
              <w:spacing w:before="60" w:after="60" w:line="240" w:lineRule="auto"/>
              <w:rPr>
                <w:rFonts w:ascii="Arial" w:eastAsia="Times New Roman" w:hAnsi="Arial" w:cs="Arial"/>
                <w:b/>
                <w:bCs/>
                <w:color w:val="FFFFFF"/>
                <w:sz w:val="18"/>
                <w:szCs w:val="18"/>
              </w:rPr>
            </w:pPr>
          </w:p>
        </w:tc>
        <w:tc>
          <w:tcPr>
            <w:tcW w:w="1116" w:type="dxa"/>
            <w:vMerge/>
            <w:tcBorders>
              <w:top w:val="single" w:sz="4" w:space="0" w:color="auto"/>
              <w:left w:val="single" w:sz="4" w:space="0" w:color="FFFFFF"/>
              <w:bottom w:val="single" w:sz="4" w:space="0" w:color="000000"/>
              <w:right w:val="single" w:sz="4" w:space="0" w:color="FFFFFF"/>
            </w:tcBorders>
            <w:vAlign w:val="center"/>
            <w:hideMark/>
          </w:tcPr>
          <w:p w:rsidR="00AD58BD" w:rsidRPr="00AD58BD" w:rsidRDefault="00AD58BD" w:rsidP="00750605">
            <w:pPr>
              <w:spacing w:before="60" w:after="60" w:line="240" w:lineRule="auto"/>
              <w:rPr>
                <w:rFonts w:ascii="Arial" w:eastAsia="Times New Roman" w:hAnsi="Arial" w:cs="Arial"/>
                <w:b/>
                <w:bCs/>
                <w:color w:val="FFFFFF"/>
                <w:sz w:val="18"/>
                <w:szCs w:val="18"/>
              </w:rPr>
            </w:pPr>
          </w:p>
        </w:tc>
        <w:tc>
          <w:tcPr>
            <w:tcW w:w="1317" w:type="dxa"/>
            <w:tcBorders>
              <w:top w:val="nil"/>
              <w:left w:val="nil"/>
              <w:bottom w:val="single" w:sz="4" w:space="0" w:color="auto"/>
              <w:right w:val="single" w:sz="4" w:space="0" w:color="FFFFFF"/>
            </w:tcBorders>
            <w:shd w:val="clear" w:color="000000" w:fill="0070D0"/>
            <w:vAlign w:val="center"/>
            <w:hideMark/>
          </w:tcPr>
          <w:p w:rsidR="00AD58BD" w:rsidRPr="00564710" w:rsidRDefault="00AD58BD" w:rsidP="00564710">
            <w:pPr>
              <w:spacing w:before="60" w:after="60" w:line="240" w:lineRule="auto"/>
              <w:jc w:val="center"/>
              <w:rPr>
                <w:rFonts w:ascii="Arial" w:eastAsia="Times New Roman" w:hAnsi="Arial" w:cs="Arial"/>
                <w:b/>
                <w:color w:val="FFFFFF"/>
                <w:sz w:val="18"/>
                <w:szCs w:val="18"/>
              </w:rPr>
            </w:pPr>
            <w:r w:rsidRPr="00564710">
              <w:rPr>
                <w:rFonts w:ascii="Arial" w:eastAsia="Times New Roman" w:hAnsi="Arial" w:cs="Arial"/>
                <w:b/>
                <w:color w:val="FFFFFF"/>
                <w:sz w:val="18"/>
                <w:szCs w:val="18"/>
              </w:rPr>
              <w:t>(MW 1-6 PM)</w:t>
            </w:r>
          </w:p>
        </w:tc>
        <w:tc>
          <w:tcPr>
            <w:tcW w:w="1334" w:type="dxa"/>
            <w:tcBorders>
              <w:top w:val="nil"/>
              <w:left w:val="nil"/>
              <w:bottom w:val="single" w:sz="4" w:space="0" w:color="auto"/>
              <w:right w:val="single" w:sz="4" w:space="0" w:color="FFFFFF"/>
            </w:tcBorders>
            <w:shd w:val="clear" w:color="000000" w:fill="0070D0"/>
            <w:vAlign w:val="center"/>
            <w:hideMark/>
          </w:tcPr>
          <w:p w:rsidR="00AD58BD" w:rsidRPr="00564710" w:rsidRDefault="00AD58BD" w:rsidP="00564710">
            <w:pPr>
              <w:spacing w:before="60" w:after="60" w:line="240" w:lineRule="auto"/>
              <w:jc w:val="center"/>
              <w:rPr>
                <w:rFonts w:ascii="Arial" w:eastAsia="Times New Roman" w:hAnsi="Arial" w:cs="Arial"/>
                <w:b/>
                <w:color w:val="FFFFFF"/>
                <w:sz w:val="18"/>
                <w:szCs w:val="18"/>
              </w:rPr>
            </w:pPr>
            <w:r w:rsidRPr="00564710">
              <w:rPr>
                <w:rFonts w:ascii="Arial" w:eastAsia="Times New Roman" w:hAnsi="Arial" w:cs="Arial"/>
                <w:b/>
                <w:color w:val="FFFFFF"/>
                <w:sz w:val="18"/>
                <w:szCs w:val="18"/>
              </w:rPr>
              <w:t>(MW 1-6 PM)</w:t>
            </w:r>
          </w:p>
        </w:tc>
        <w:tc>
          <w:tcPr>
            <w:tcW w:w="1286" w:type="dxa"/>
            <w:tcBorders>
              <w:top w:val="nil"/>
              <w:left w:val="nil"/>
              <w:bottom w:val="single" w:sz="4" w:space="0" w:color="auto"/>
              <w:right w:val="single" w:sz="4" w:space="0" w:color="FFFFFF"/>
            </w:tcBorders>
            <w:shd w:val="clear" w:color="000000" w:fill="0070D0"/>
            <w:vAlign w:val="center"/>
            <w:hideMark/>
          </w:tcPr>
          <w:p w:rsidR="00AD58BD" w:rsidRPr="00564710" w:rsidRDefault="00AD58BD" w:rsidP="00564710">
            <w:pPr>
              <w:spacing w:before="60" w:after="60" w:line="240" w:lineRule="auto"/>
              <w:jc w:val="center"/>
              <w:rPr>
                <w:rFonts w:ascii="Arial" w:eastAsia="Times New Roman" w:hAnsi="Arial" w:cs="Arial"/>
                <w:b/>
                <w:color w:val="FFFFFF"/>
                <w:sz w:val="18"/>
                <w:szCs w:val="18"/>
              </w:rPr>
            </w:pPr>
            <w:r w:rsidRPr="00564710">
              <w:rPr>
                <w:rFonts w:ascii="Arial" w:eastAsia="Times New Roman" w:hAnsi="Arial" w:cs="Arial"/>
                <w:b/>
                <w:color w:val="FFFFFF"/>
                <w:sz w:val="18"/>
                <w:szCs w:val="18"/>
              </w:rPr>
              <w:t>(MW 1-6 PM)</w:t>
            </w:r>
          </w:p>
        </w:tc>
        <w:tc>
          <w:tcPr>
            <w:tcW w:w="1170" w:type="dxa"/>
            <w:tcBorders>
              <w:top w:val="nil"/>
              <w:left w:val="nil"/>
              <w:bottom w:val="single" w:sz="4" w:space="0" w:color="auto"/>
              <w:right w:val="single" w:sz="4" w:space="0" w:color="FFFFFF"/>
            </w:tcBorders>
            <w:shd w:val="clear" w:color="000000" w:fill="0070D0"/>
            <w:vAlign w:val="center"/>
            <w:hideMark/>
          </w:tcPr>
          <w:p w:rsidR="00AD58BD" w:rsidRPr="00564710" w:rsidRDefault="00AD58BD" w:rsidP="00750605">
            <w:pPr>
              <w:spacing w:before="60" w:after="60" w:line="240" w:lineRule="auto"/>
              <w:jc w:val="center"/>
              <w:rPr>
                <w:rFonts w:ascii="Arial" w:eastAsia="Times New Roman" w:hAnsi="Arial" w:cs="Arial"/>
                <w:b/>
                <w:color w:val="FFFFFF"/>
                <w:sz w:val="18"/>
                <w:szCs w:val="18"/>
              </w:rPr>
            </w:pPr>
            <w:r w:rsidRPr="00564710">
              <w:rPr>
                <w:rFonts w:ascii="Arial" w:eastAsia="Times New Roman" w:hAnsi="Arial" w:cs="Arial"/>
                <w:b/>
                <w:color w:val="FFFFFF"/>
                <w:sz w:val="18"/>
                <w:szCs w:val="18"/>
              </w:rPr>
              <w:t>(%)</w:t>
            </w:r>
          </w:p>
        </w:tc>
        <w:tc>
          <w:tcPr>
            <w:tcW w:w="1071" w:type="dxa"/>
            <w:tcBorders>
              <w:top w:val="nil"/>
              <w:left w:val="nil"/>
              <w:bottom w:val="single" w:sz="4" w:space="0" w:color="auto"/>
              <w:right w:val="single" w:sz="4" w:space="0" w:color="auto"/>
            </w:tcBorders>
            <w:shd w:val="clear" w:color="000000" w:fill="0070D0"/>
            <w:vAlign w:val="center"/>
            <w:hideMark/>
          </w:tcPr>
          <w:p w:rsidR="00AD58BD" w:rsidRPr="00564710" w:rsidRDefault="00AD58BD" w:rsidP="00750605">
            <w:pPr>
              <w:spacing w:before="60" w:after="60" w:line="240" w:lineRule="auto"/>
              <w:jc w:val="center"/>
              <w:rPr>
                <w:rFonts w:ascii="Arial" w:eastAsia="Times New Roman" w:hAnsi="Arial" w:cs="Arial"/>
                <w:b/>
                <w:color w:val="FFFFFF"/>
                <w:sz w:val="18"/>
                <w:szCs w:val="18"/>
              </w:rPr>
            </w:pPr>
            <w:r w:rsidRPr="00564710">
              <w:rPr>
                <w:rFonts w:ascii="Arial" w:eastAsia="Times New Roman" w:hAnsi="Arial" w:cs="Arial"/>
                <w:b/>
                <w:color w:val="FFFFFF"/>
                <w:sz w:val="18"/>
                <w:szCs w:val="18"/>
              </w:rPr>
              <w:t>(°F)</w:t>
            </w:r>
          </w:p>
        </w:tc>
      </w:tr>
      <w:tr w:rsidR="00F9581C" w:rsidRPr="00AD58BD" w:rsidTr="008028DC">
        <w:trPr>
          <w:trHeight w:val="240"/>
          <w:jc w:val="center"/>
        </w:trPr>
        <w:tc>
          <w:tcPr>
            <w:tcW w:w="103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PG&amp;E</w:t>
            </w:r>
          </w:p>
        </w:tc>
        <w:tc>
          <w:tcPr>
            <w:tcW w:w="1019" w:type="dxa"/>
            <w:vMerge w:val="restart"/>
            <w:tcBorders>
              <w:top w:val="nil"/>
              <w:left w:val="single" w:sz="4" w:space="0" w:color="auto"/>
              <w:bottom w:val="single" w:sz="4" w:space="0" w:color="auto"/>
              <w:right w:val="single" w:sz="4" w:space="0" w:color="auto"/>
            </w:tcBorders>
            <w:shd w:val="clear" w:color="auto" w:fill="auto"/>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1-in-10</w:t>
            </w: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20,267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550.5</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544.0</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6.5</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97.6</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2016</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27,014</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792.4</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783.0</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9.4</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97.0</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2017</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37,579</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182.4</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168.3</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14.0</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96.6</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39,677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261.2</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246.3</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15.0</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96.5</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val="restart"/>
            <w:tcBorders>
              <w:top w:val="nil"/>
              <w:left w:val="single" w:sz="4" w:space="0" w:color="auto"/>
              <w:bottom w:val="single" w:sz="4" w:space="0" w:color="auto"/>
              <w:right w:val="single" w:sz="4" w:space="0" w:color="auto"/>
            </w:tcBorders>
            <w:shd w:val="clear" w:color="auto" w:fill="auto"/>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1-in-2</w:t>
            </w: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20,267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514.1</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508.0</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6.1</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93.9</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2016</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27,014</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739.3</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730.5</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8.8</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93.4</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2017</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37,579</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101.8</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088.7</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13.1</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92.8</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39,677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175.0</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161.1</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13.9</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92.8</w:t>
            </w:r>
          </w:p>
        </w:tc>
      </w:tr>
      <w:tr w:rsidR="00F9581C" w:rsidRPr="00AD58BD" w:rsidTr="008028DC">
        <w:trPr>
          <w:trHeight w:val="240"/>
          <w:jc w:val="center"/>
        </w:trPr>
        <w:tc>
          <w:tcPr>
            <w:tcW w:w="103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CAISO</w:t>
            </w:r>
          </w:p>
        </w:tc>
        <w:tc>
          <w:tcPr>
            <w:tcW w:w="1019" w:type="dxa"/>
            <w:vMerge w:val="restart"/>
            <w:tcBorders>
              <w:top w:val="nil"/>
              <w:left w:val="single" w:sz="4" w:space="0" w:color="auto"/>
              <w:bottom w:val="single" w:sz="4" w:space="0" w:color="auto"/>
              <w:right w:val="single" w:sz="4" w:space="0" w:color="auto"/>
            </w:tcBorders>
            <w:shd w:val="clear" w:color="auto" w:fill="auto"/>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1-in-10</w:t>
            </w: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20,267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528.9</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522.6</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6.3</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94.8</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2016</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27,014</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760.4</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751.3</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9.0</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94.1</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2017</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37,579</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132.9</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119.4</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13.4</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93.5</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39,677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208.1</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193.8</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14.3</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93.4</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val="restart"/>
            <w:tcBorders>
              <w:top w:val="nil"/>
              <w:left w:val="single" w:sz="4" w:space="0" w:color="auto"/>
              <w:bottom w:val="single" w:sz="4" w:space="0" w:color="auto"/>
              <w:right w:val="single" w:sz="4" w:space="0" w:color="auto"/>
            </w:tcBorders>
            <w:shd w:val="clear" w:color="auto" w:fill="auto"/>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1-in-2</w:t>
            </w: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20,267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472.6</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467.0</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5.6</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90.3</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2016</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27,014</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678.8</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670.7</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8.1</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89.8</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2017</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37,579</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011.0</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999.0</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12.0</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89.3</w:t>
            </w:r>
          </w:p>
        </w:tc>
      </w:tr>
      <w:tr w:rsidR="00F9581C" w:rsidRPr="00AD58BD" w:rsidTr="008028DC">
        <w:trPr>
          <w:trHeight w:val="240"/>
          <w:jc w:val="center"/>
        </w:trPr>
        <w:tc>
          <w:tcPr>
            <w:tcW w:w="1033"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1019" w:type="dxa"/>
            <w:vMerge/>
            <w:tcBorders>
              <w:top w:val="nil"/>
              <w:left w:val="single" w:sz="4" w:space="0" w:color="auto"/>
              <w:bottom w:val="single" w:sz="4" w:space="0" w:color="auto"/>
              <w:right w:val="single" w:sz="4" w:space="0" w:color="auto"/>
            </w:tcBorders>
            <w:vAlign w:val="center"/>
            <w:hideMark/>
          </w:tcPr>
          <w:p w:rsidR="00AD58BD" w:rsidRPr="00AD58BD" w:rsidRDefault="00AD58BD" w:rsidP="00750605">
            <w:pPr>
              <w:spacing w:before="60" w:after="60" w:line="240" w:lineRule="auto"/>
              <w:rPr>
                <w:rFonts w:ascii="Arial" w:eastAsia="Times New Roman" w:hAnsi="Arial" w:cs="Arial"/>
                <w:color w:val="000000"/>
                <w:sz w:val="18"/>
                <w:szCs w:val="18"/>
              </w:rPr>
            </w:pPr>
          </w:p>
        </w:tc>
        <w:tc>
          <w:tcPr>
            <w:tcW w:w="78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2025</w:t>
            </w:r>
          </w:p>
        </w:tc>
        <w:tc>
          <w:tcPr>
            <w:tcW w:w="111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39,677</w:t>
            </w:r>
          </w:p>
        </w:tc>
        <w:tc>
          <w:tcPr>
            <w:tcW w:w="1317"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078.3</w:t>
            </w:r>
          </w:p>
        </w:tc>
        <w:tc>
          <w:tcPr>
            <w:tcW w:w="1334"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w:t>
            </w:r>
            <w:r w:rsidR="00564710">
              <w:rPr>
                <w:rFonts w:ascii="Arial" w:eastAsia="Times New Roman" w:hAnsi="Arial" w:cs="Arial"/>
                <w:color w:val="000000"/>
                <w:sz w:val="18"/>
                <w:szCs w:val="18"/>
              </w:rPr>
              <w:t>,</w:t>
            </w:r>
            <w:r w:rsidRPr="00AD58BD">
              <w:rPr>
                <w:rFonts w:ascii="Arial" w:eastAsia="Times New Roman" w:hAnsi="Arial" w:cs="Arial"/>
                <w:color w:val="000000"/>
                <w:sz w:val="18"/>
                <w:szCs w:val="18"/>
              </w:rPr>
              <w:t>065.5</w:t>
            </w:r>
          </w:p>
        </w:tc>
        <w:tc>
          <w:tcPr>
            <w:tcW w:w="1286"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12.8</w:t>
            </w:r>
          </w:p>
        </w:tc>
        <w:tc>
          <w:tcPr>
            <w:tcW w:w="1170"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1.2%</w:t>
            </w:r>
          </w:p>
        </w:tc>
        <w:tc>
          <w:tcPr>
            <w:tcW w:w="1071" w:type="dxa"/>
            <w:tcBorders>
              <w:top w:val="nil"/>
              <w:left w:val="nil"/>
              <w:bottom w:val="single" w:sz="4" w:space="0" w:color="auto"/>
              <w:right w:val="single" w:sz="4" w:space="0" w:color="auto"/>
            </w:tcBorders>
            <w:shd w:val="clear" w:color="auto" w:fill="auto"/>
            <w:noWrap/>
            <w:vAlign w:val="center"/>
            <w:hideMark/>
          </w:tcPr>
          <w:p w:rsidR="00AD58BD" w:rsidRPr="00AD58BD" w:rsidRDefault="00AD58BD" w:rsidP="00750605">
            <w:pPr>
              <w:spacing w:before="60" w:after="60" w:line="240" w:lineRule="auto"/>
              <w:jc w:val="center"/>
              <w:rPr>
                <w:rFonts w:ascii="Arial" w:eastAsia="Times New Roman" w:hAnsi="Arial" w:cs="Arial"/>
                <w:color w:val="000000"/>
                <w:sz w:val="18"/>
                <w:szCs w:val="18"/>
              </w:rPr>
            </w:pPr>
            <w:r w:rsidRPr="00AD58BD">
              <w:rPr>
                <w:rFonts w:ascii="Arial" w:eastAsia="Times New Roman" w:hAnsi="Arial" w:cs="Arial"/>
                <w:color w:val="000000"/>
                <w:sz w:val="18"/>
                <w:szCs w:val="18"/>
              </w:rPr>
              <w:t>89.3</w:t>
            </w:r>
          </w:p>
        </w:tc>
      </w:tr>
    </w:tbl>
    <w:p w:rsidR="006A7080" w:rsidRPr="00A907B2" w:rsidRDefault="006A7080" w:rsidP="00D015F2">
      <w:pPr>
        <w:pStyle w:val="Heading3"/>
        <w:spacing w:before="360"/>
      </w:pPr>
      <w:bookmarkStart w:id="170" w:name="_Toc415494778"/>
      <w:r>
        <w:lastRenderedPageBreak/>
        <w:t>Ex Ante Impacts by Geographic Location</w:t>
      </w:r>
      <w:bookmarkEnd w:id="165"/>
      <w:bookmarkEnd w:id="166"/>
      <w:bookmarkEnd w:id="167"/>
      <w:bookmarkEnd w:id="168"/>
      <w:bookmarkEnd w:id="169"/>
      <w:r>
        <w:t xml:space="preserve"> and Month</w:t>
      </w:r>
      <w:bookmarkEnd w:id="170"/>
    </w:p>
    <w:p w:rsidR="006A7080" w:rsidRDefault="007C7B55" w:rsidP="006A7080">
      <w:pPr>
        <w:pStyle w:val="BodyParagraph"/>
      </w:pPr>
      <w:r>
        <w:t>Table 5-11</w:t>
      </w:r>
      <w:r w:rsidR="006A7080">
        <w:t xml:space="preserve"> summarizes aggregate </w:t>
      </w:r>
      <w:r w:rsidR="0024648A">
        <w:t xml:space="preserve">2018 </w:t>
      </w:r>
      <w:r w:rsidR="006A7080">
        <w:t>ex ante impacts for each LCA by month for medium C&amp;I CPP customers</w:t>
      </w:r>
      <w:proofErr w:type="gramStart"/>
      <w:r w:rsidR="006A7080">
        <w:t xml:space="preserve">.  </w:t>
      </w:r>
      <w:proofErr w:type="gramEnd"/>
      <w:r w:rsidR="006A7080">
        <w:t xml:space="preserve">It shows the per customer impacts for each monthly system peak day under </w:t>
      </w:r>
      <w:r w:rsidR="0024648A">
        <w:t xml:space="preserve">PG&amp;E </w:t>
      </w:r>
      <w:r w:rsidR="006A7080">
        <w:t>1-in-2 and 1</w:t>
      </w:r>
      <w:r w:rsidR="006A7080">
        <w:noBreakHyphen/>
        <w:t>in-10 system peaking conditions</w:t>
      </w:r>
      <w:proofErr w:type="gramStart"/>
      <w:r w:rsidR="006A7080" w:rsidRPr="00225A57">
        <w:t>.</w:t>
      </w:r>
      <w:r w:rsidR="006A7080">
        <w:t xml:space="preserve">  </w:t>
      </w:r>
      <w:proofErr w:type="gramEnd"/>
      <w:r w:rsidR="0024648A">
        <w:t>As a result of the CPP event window ending at 6 PM,</w:t>
      </w:r>
      <w:r w:rsidR="004567F4">
        <w:t xml:space="preserve"> impacts are typically between 3 and 4</w:t>
      </w:r>
      <w:r w:rsidR="0024648A">
        <w:t xml:space="preserve"> times larger in the summer months compared with winter months</w:t>
      </w:r>
      <w:proofErr w:type="gramStart"/>
      <w:r w:rsidR="0024648A">
        <w:t xml:space="preserve">.  </w:t>
      </w:r>
      <w:proofErr w:type="gramEnd"/>
      <w:r w:rsidR="0024648A">
        <w:t>Although</w:t>
      </w:r>
      <w:r w:rsidR="006A7080">
        <w:t xml:space="preserve"> there is no real empirical data on how customers will respond in winter months, the load impacts in these months reflect the 1.5% impact </w:t>
      </w:r>
      <w:r w:rsidR="004567F4">
        <w:t>from 2</w:t>
      </w:r>
      <w:r w:rsidR="0024648A">
        <w:t xml:space="preserve"> to 6 PM </w:t>
      </w:r>
      <w:r w:rsidR="006A7080">
        <w:t>that was assumed</w:t>
      </w:r>
      <w:proofErr w:type="gramStart"/>
      <w:r w:rsidR="006A7080">
        <w:t xml:space="preserve">.  </w:t>
      </w:r>
      <w:proofErr w:type="gramEnd"/>
      <w:r w:rsidR="006A7080">
        <w:t>Differences in impacts over months occur as a result of differences in reference load</w:t>
      </w:r>
      <w:r w:rsidR="0024648A">
        <w:t xml:space="preserve"> as well</w:t>
      </w:r>
      <w:r w:rsidR="006A7080">
        <w:t>.</w:t>
      </w:r>
    </w:p>
    <w:p w:rsidR="00283EC7" w:rsidRDefault="006A7080" w:rsidP="006A7080">
      <w:pPr>
        <w:pStyle w:val="BodyParagraph"/>
      </w:pPr>
      <w:r>
        <w:t>The variation in impact by LCA reflects the weather, size of customers and the industry mix in each of PG&amp;E’s LCAs, which in turn affect reference load</w:t>
      </w:r>
      <w:proofErr w:type="gramStart"/>
      <w:r>
        <w:t>.</w:t>
      </w:r>
      <w:r w:rsidRPr="00225A57">
        <w:t xml:space="preserve">  </w:t>
      </w:r>
      <w:proofErr w:type="gramEnd"/>
      <w:r>
        <w:t xml:space="preserve">Impacts for 2018, when default CPP will have been fully implemented across PG&amp;E’s territory, are shown in </w:t>
      </w:r>
      <w:r w:rsidR="00F9581C">
        <w:t>T</w:t>
      </w:r>
      <w:r>
        <w:t>able</w:t>
      </w:r>
      <w:r w:rsidR="00F9581C">
        <w:t xml:space="preserve"> 5-11</w:t>
      </w:r>
      <w:proofErr w:type="gramStart"/>
      <w:r>
        <w:t xml:space="preserve">.  </w:t>
      </w:r>
      <w:proofErr w:type="gramEnd"/>
      <w:r>
        <w:t>Like the large C&amp;I ex ante load impacts by LCA, most of the load impacts will come from the Greater Bay Area and Other LCAs</w:t>
      </w:r>
      <w:proofErr w:type="gramStart"/>
      <w:r>
        <w:t xml:space="preserve">.  </w:t>
      </w:r>
      <w:proofErr w:type="gramEnd"/>
      <w:r>
        <w:t>The Greater Bay Area accounts for 43% of the forecasted 201</w:t>
      </w:r>
      <w:r w:rsidR="001D787D">
        <w:t>8</w:t>
      </w:r>
      <w:r>
        <w:t xml:space="preserve"> medium </w:t>
      </w:r>
      <w:proofErr w:type="gramStart"/>
      <w:r>
        <w:t>C&amp;I</w:t>
      </w:r>
      <w:proofErr w:type="gramEnd"/>
      <w:r>
        <w:t xml:space="preserve"> enrollment while the Other LCA accounts for 22%.</w:t>
      </w:r>
    </w:p>
    <w:bookmarkEnd w:id="131"/>
    <w:p w:rsidR="00D015F2" w:rsidRPr="00DA0B27" w:rsidRDefault="00D015F2" w:rsidP="00D015F2">
      <w:pPr>
        <w:pStyle w:val="TableFigureCaption"/>
        <w:spacing w:after="0"/>
      </w:pPr>
      <w:r>
        <w:t>Table 5-11</w:t>
      </w:r>
      <w:r w:rsidRPr="00DA0B27">
        <w:t>:</w:t>
      </w:r>
      <w:r>
        <w:t xml:space="preserve"> </w:t>
      </w:r>
      <w:r w:rsidRPr="00DA0B27">
        <w:t xml:space="preserve">Aggregate </w:t>
      </w:r>
      <w:r>
        <w:t>PG&amp;E</w:t>
      </w:r>
      <w:r w:rsidRPr="00DA0B27">
        <w:t xml:space="preserve"> Ex Ante Load Impact Estimates by LCA</w:t>
      </w:r>
    </w:p>
    <w:p w:rsidR="00D015F2" w:rsidRDefault="00D015F2" w:rsidP="00D015F2">
      <w:pPr>
        <w:pStyle w:val="TableFigureCaption"/>
      </w:pPr>
      <w:r>
        <w:t xml:space="preserve">Medium C&amp;I </w:t>
      </w:r>
      <w:r w:rsidRPr="00DA0B27">
        <w:t>201</w:t>
      </w:r>
      <w:r>
        <w:t>8</w:t>
      </w:r>
      <w:r w:rsidRPr="00DA0B27">
        <w:t xml:space="preserve"> Monthly System Peak Days</w:t>
      </w:r>
      <w:r>
        <w:t xml:space="preserve"> (1 to 6 PM), PG&amp;E Weather Scenarios</w:t>
      </w:r>
      <w:r>
        <w:rPr>
          <w:rStyle w:val="FootnoteReference"/>
        </w:rPr>
        <w:footnoteReference w:id="22"/>
      </w:r>
      <w:r w:rsidRPr="00DA0B27">
        <w:t xml:space="preserve"> </w:t>
      </w:r>
    </w:p>
    <w:tbl>
      <w:tblPr>
        <w:tblW w:w="9750" w:type="dxa"/>
        <w:jc w:val="center"/>
        <w:tblInd w:w="93" w:type="dxa"/>
        <w:tblLook w:val="04A0" w:firstRow="1" w:lastRow="0" w:firstColumn="1" w:lastColumn="0" w:noHBand="0" w:noVBand="1"/>
      </w:tblPr>
      <w:tblGrid>
        <w:gridCol w:w="927"/>
        <w:gridCol w:w="1702"/>
        <w:gridCol w:w="600"/>
        <w:gridCol w:w="600"/>
        <w:gridCol w:w="600"/>
        <w:gridCol w:w="600"/>
        <w:gridCol w:w="600"/>
        <w:gridCol w:w="600"/>
        <w:gridCol w:w="600"/>
        <w:gridCol w:w="616"/>
        <w:gridCol w:w="600"/>
        <w:gridCol w:w="600"/>
        <w:gridCol w:w="607"/>
        <w:gridCol w:w="600"/>
      </w:tblGrid>
      <w:tr w:rsidR="004567F4" w:rsidRPr="004567F4" w:rsidTr="00750605">
        <w:trPr>
          <w:trHeight w:val="240"/>
          <w:jc w:val="center"/>
        </w:trPr>
        <w:tc>
          <w:tcPr>
            <w:tcW w:w="825"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Weather Year</w:t>
            </w:r>
          </w:p>
        </w:tc>
        <w:tc>
          <w:tcPr>
            <w:tcW w:w="1702"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Local Capacity Area</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Jan.</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Feb.</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Mar.</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Apr.</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May</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Jun.</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Jul.</w:t>
            </w:r>
          </w:p>
        </w:tc>
        <w:tc>
          <w:tcPr>
            <w:tcW w:w="616"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Aug.</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Sep.</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Oct.</w:t>
            </w:r>
          </w:p>
        </w:tc>
        <w:tc>
          <w:tcPr>
            <w:tcW w:w="607" w:type="dxa"/>
            <w:tcBorders>
              <w:top w:val="single" w:sz="4" w:space="0" w:color="auto"/>
              <w:left w:val="nil"/>
              <w:bottom w:val="single" w:sz="4" w:space="0" w:color="FFFFFF"/>
              <w:right w:val="single" w:sz="4" w:space="0" w:color="FFFFFF"/>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Nov.</w:t>
            </w:r>
          </w:p>
        </w:tc>
        <w:tc>
          <w:tcPr>
            <w:tcW w:w="600" w:type="dxa"/>
            <w:tcBorders>
              <w:top w:val="single" w:sz="4" w:space="0" w:color="auto"/>
              <w:left w:val="nil"/>
              <w:bottom w:val="single" w:sz="4" w:space="0" w:color="FFFFFF"/>
              <w:right w:val="single" w:sz="4" w:space="0" w:color="auto"/>
            </w:tcBorders>
            <w:shd w:val="clear" w:color="000000" w:fill="0070D0"/>
            <w:vAlign w:val="center"/>
            <w:hideMark/>
          </w:tcPr>
          <w:p w:rsidR="004567F4" w:rsidRPr="004567F4" w:rsidRDefault="004567F4" w:rsidP="00750605">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Dec.</w:t>
            </w:r>
          </w:p>
        </w:tc>
      </w:tr>
      <w:tr w:rsidR="004567F4" w:rsidRPr="004567F4" w:rsidTr="00750605">
        <w:trPr>
          <w:trHeight w:val="510"/>
          <w:jc w:val="center"/>
        </w:trPr>
        <w:tc>
          <w:tcPr>
            <w:tcW w:w="825" w:type="dxa"/>
            <w:vMerge/>
            <w:tcBorders>
              <w:top w:val="single" w:sz="4" w:space="0" w:color="auto"/>
              <w:left w:val="single" w:sz="4" w:space="0" w:color="auto"/>
              <w:bottom w:val="single" w:sz="4" w:space="0" w:color="000000"/>
              <w:right w:val="single" w:sz="4" w:space="0" w:color="FFFFFF"/>
            </w:tcBorders>
            <w:vAlign w:val="center"/>
            <w:hideMark/>
          </w:tcPr>
          <w:p w:rsidR="004567F4" w:rsidRPr="004567F4" w:rsidRDefault="004567F4" w:rsidP="00750605">
            <w:pPr>
              <w:spacing w:before="50" w:after="50" w:line="240" w:lineRule="auto"/>
              <w:rPr>
                <w:rFonts w:ascii="Arial" w:eastAsia="Times New Roman" w:hAnsi="Arial" w:cs="Arial"/>
                <w:b/>
                <w:bCs/>
                <w:color w:val="FFFFFF"/>
                <w:sz w:val="18"/>
                <w:szCs w:val="18"/>
              </w:rPr>
            </w:pPr>
          </w:p>
        </w:tc>
        <w:tc>
          <w:tcPr>
            <w:tcW w:w="1702" w:type="dxa"/>
            <w:vMerge/>
            <w:tcBorders>
              <w:top w:val="single" w:sz="4" w:space="0" w:color="auto"/>
              <w:left w:val="single" w:sz="4" w:space="0" w:color="FFFFFF"/>
              <w:bottom w:val="single" w:sz="4" w:space="0" w:color="000000"/>
              <w:right w:val="single" w:sz="4" w:space="0" w:color="FFFFFF"/>
            </w:tcBorders>
            <w:vAlign w:val="center"/>
            <w:hideMark/>
          </w:tcPr>
          <w:p w:rsidR="004567F4" w:rsidRPr="004567F4" w:rsidRDefault="004567F4" w:rsidP="00750605">
            <w:pPr>
              <w:spacing w:before="50" w:after="50" w:line="240" w:lineRule="auto"/>
              <w:rPr>
                <w:rFonts w:ascii="Arial" w:eastAsia="Times New Roman" w:hAnsi="Arial" w:cs="Arial"/>
                <w:b/>
                <w:bCs/>
                <w:color w:val="FFFFFF"/>
                <w:sz w:val="18"/>
                <w:szCs w:val="18"/>
              </w:rPr>
            </w:pPr>
          </w:p>
        </w:tc>
        <w:tc>
          <w:tcPr>
            <w:tcW w:w="2400" w:type="dxa"/>
            <w:gridSpan w:val="4"/>
            <w:tcBorders>
              <w:top w:val="single" w:sz="4" w:space="0" w:color="FFFFFF"/>
              <w:left w:val="nil"/>
              <w:bottom w:val="single" w:sz="4" w:space="0" w:color="auto"/>
              <w:right w:val="single" w:sz="4" w:space="0" w:color="FFFFFF"/>
            </w:tcBorders>
            <w:shd w:val="clear" w:color="000000" w:fill="0070D0"/>
            <w:vAlign w:val="center"/>
            <w:hideMark/>
          </w:tcPr>
          <w:p w:rsidR="004567F4" w:rsidRPr="004567F4" w:rsidRDefault="00744453" w:rsidP="00744453">
            <w:pPr>
              <w:spacing w:before="50" w:after="5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4 to </w:t>
            </w:r>
            <w:r w:rsidR="004567F4" w:rsidRPr="004567F4">
              <w:rPr>
                <w:rFonts w:ascii="Arial" w:eastAsia="Times New Roman" w:hAnsi="Arial" w:cs="Arial"/>
                <w:b/>
                <w:bCs/>
                <w:color w:val="FFFFFF"/>
                <w:sz w:val="18"/>
                <w:szCs w:val="18"/>
              </w:rPr>
              <w:t xml:space="preserve">9 </w:t>
            </w:r>
            <w:r>
              <w:rPr>
                <w:rFonts w:ascii="Arial" w:eastAsia="Times New Roman" w:hAnsi="Arial" w:cs="Arial"/>
                <w:b/>
                <w:bCs/>
                <w:color w:val="FFFFFF"/>
                <w:sz w:val="18"/>
                <w:szCs w:val="18"/>
              </w:rPr>
              <w:t>PM</w:t>
            </w:r>
            <w:r w:rsidR="004567F4" w:rsidRPr="004567F4">
              <w:rPr>
                <w:rFonts w:ascii="Arial" w:eastAsia="Times New Roman" w:hAnsi="Arial" w:cs="Arial"/>
                <w:b/>
                <w:bCs/>
                <w:color w:val="FFFFFF"/>
                <w:sz w:val="18"/>
                <w:szCs w:val="18"/>
              </w:rPr>
              <w:t xml:space="preserve"> Resource Adequacy Window</w:t>
            </w:r>
          </w:p>
        </w:tc>
        <w:tc>
          <w:tcPr>
            <w:tcW w:w="3616" w:type="dxa"/>
            <w:gridSpan w:val="6"/>
            <w:tcBorders>
              <w:top w:val="single" w:sz="4" w:space="0" w:color="FFFFFF"/>
              <w:left w:val="nil"/>
              <w:bottom w:val="single" w:sz="4" w:space="0" w:color="auto"/>
              <w:right w:val="single" w:sz="4" w:space="0" w:color="FFFFFF"/>
            </w:tcBorders>
            <w:shd w:val="clear" w:color="000000" w:fill="0070D0"/>
            <w:vAlign w:val="center"/>
            <w:hideMark/>
          </w:tcPr>
          <w:p w:rsidR="004567F4" w:rsidRPr="004567F4" w:rsidRDefault="004567F4" w:rsidP="00744453">
            <w:pPr>
              <w:spacing w:before="50" w:after="50" w:line="240" w:lineRule="auto"/>
              <w:jc w:val="center"/>
              <w:rPr>
                <w:rFonts w:ascii="Arial" w:eastAsia="Times New Roman" w:hAnsi="Arial" w:cs="Arial"/>
                <w:b/>
                <w:bCs/>
                <w:color w:val="FFFFFF"/>
                <w:sz w:val="18"/>
                <w:szCs w:val="18"/>
              </w:rPr>
            </w:pPr>
            <w:r w:rsidRPr="004567F4">
              <w:rPr>
                <w:rFonts w:ascii="Arial" w:eastAsia="Times New Roman" w:hAnsi="Arial" w:cs="Arial"/>
                <w:b/>
                <w:bCs/>
                <w:color w:val="FFFFFF"/>
                <w:sz w:val="18"/>
                <w:szCs w:val="18"/>
              </w:rPr>
              <w:t>1</w:t>
            </w:r>
            <w:r w:rsidR="00744453">
              <w:rPr>
                <w:rFonts w:ascii="Arial" w:eastAsia="Times New Roman" w:hAnsi="Arial" w:cs="Arial"/>
                <w:b/>
                <w:bCs/>
                <w:color w:val="FFFFFF"/>
                <w:sz w:val="18"/>
                <w:szCs w:val="18"/>
              </w:rPr>
              <w:t xml:space="preserve"> to </w:t>
            </w:r>
            <w:r w:rsidRPr="004567F4">
              <w:rPr>
                <w:rFonts w:ascii="Arial" w:eastAsia="Times New Roman" w:hAnsi="Arial" w:cs="Arial"/>
                <w:b/>
                <w:bCs/>
                <w:color w:val="FFFFFF"/>
                <w:sz w:val="18"/>
                <w:szCs w:val="18"/>
              </w:rPr>
              <w:t xml:space="preserve">6 </w:t>
            </w:r>
            <w:r w:rsidR="00744453">
              <w:rPr>
                <w:rFonts w:ascii="Arial" w:eastAsia="Times New Roman" w:hAnsi="Arial" w:cs="Arial"/>
                <w:b/>
                <w:bCs/>
                <w:color w:val="FFFFFF"/>
                <w:sz w:val="18"/>
                <w:szCs w:val="18"/>
              </w:rPr>
              <w:t>PM</w:t>
            </w:r>
            <w:r w:rsidRPr="004567F4">
              <w:rPr>
                <w:rFonts w:ascii="Arial" w:eastAsia="Times New Roman" w:hAnsi="Arial" w:cs="Arial"/>
                <w:b/>
                <w:bCs/>
                <w:color w:val="FFFFFF"/>
                <w:sz w:val="18"/>
                <w:szCs w:val="18"/>
              </w:rPr>
              <w:t xml:space="preserve"> Resource Adequacy Window</w:t>
            </w:r>
          </w:p>
        </w:tc>
        <w:tc>
          <w:tcPr>
            <w:tcW w:w="1207" w:type="dxa"/>
            <w:gridSpan w:val="2"/>
            <w:tcBorders>
              <w:top w:val="single" w:sz="4" w:space="0" w:color="FFFFFF"/>
              <w:left w:val="nil"/>
              <w:bottom w:val="single" w:sz="4" w:space="0" w:color="auto"/>
              <w:right w:val="single" w:sz="4" w:space="0" w:color="000000"/>
            </w:tcBorders>
            <w:shd w:val="clear" w:color="000000" w:fill="0070D0"/>
            <w:vAlign w:val="center"/>
            <w:hideMark/>
          </w:tcPr>
          <w:p w:rsidR="004567F4" w:rsidRPr="004567F4" w:rsidRDefault="00744453" w:rsidP="00744453">
            <w:pPr>
              <w:spacing w:before="50" w:after="5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4 to </w:t>
            </w:r>
            <w:r w:rsidR="004567F4" w:rsidRPr="004567F4">
              <w:rPr>
                <w:rFonts w:ascii="Arial" w:eastAsia="Times New Roman" w:hAnsi="Arial" w:cs="Arial"/>
                <w:b/>
                <w:bCs/>
                <w:color w:val="FFFFFF"/>
                <w:sz w:val="18"/>
                <w:szCs w:val="18"/>
              </w:rPr>
              <w:t xml:space="preserve">9 </w:t>
            </w:r>
            <w:r>
              <w:rPr>
                <w:rFonts w:ascii="Arial" w:eastAsia="Times New Roman" w:hAnsi="Arial" w:cs="Arial"/>
                <w:b/>
                <w:bCs/>
                <w:color w:val="FFFFFF"/>
                <w:sz w:val="18"/>
                <w:szCs w:val="18"/>
              </w:rPr>
              <w:t>PM</w:t>
            </w:r>
          </w:p>
        </w:tc>
      </w:tr>
      <w:tr w:rsidR="004567F4" w:rsidRPr="004567F4" w:rsidTr="00750605">
        <w:trPr>
          <w:trHeight w:val="240"/>
          <w:jc w:val="center"/>
        </w:trPr>
        <w:tc>
          <w:tcPr>
            <w:tcW w:w="825" w:type="dxa"/>
            <w:vMerge w:val="restart"/>
            <w:tcBorders>
              <w:top w:val="nil"/>
              <w:left w:val="single" w:sz="4" w:space="0" w:color="000000"/>
              <w:bottom w:val="single" w:sz="4" w:space="0" w:color="000000"/>
              <w:right w:val="single" w:sz="4" w:space="0" w:color="000000"/>
            </w:tcBorders>
            <w:shd w:val="clear" w:color="auto" w:fill="auto"/>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1-in-10</w:t>
            </w: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All</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4.1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14.6</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12.3</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4.2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Greater Bay Area</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6.4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6.7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6.3</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6.2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6.3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5.7</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1.8</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Greater Fresno</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1.5</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1.2</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Humboldt</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Kern</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1.2</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0.9</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Northern Coast</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Other</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3.1</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2.4</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Sierra</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Stockton</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0.9</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r w:rsidR="004567F4" w:rsidRPr="004567F4" w:rsidTr="00750605">
        <w:trPr>
          <w:trHeight w:val="240"/>
          <w:jc w:val="center"/>
        </w:trPr>
        <w:tc>
          <w:tcPr>
            <w:tcW w:w="825" w:type="dxa"/>
            <w:vMerge w:val="restart"/>
            <w:tcBorders>
              <w:top w:val="nil"/>
              <w:left w:val="single" w:sz="4" w:space="0" w:color="000000"/>
              <w:bottom w:val="single" w:sz="4" w:space="0" w:color="000000"/>
              <w:right w:val="single" w:sz="4" w:space="0" w:color="000000"/>
            </w:tcBorders>
            <w:shd w:val="clear" w:color="auto" w:fill="auto"/>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1-in-2</w:t>
            </w: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All</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4.1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4.9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13.2</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10.9</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4.1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3.9</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Greater Bay Area</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1.9</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5.6</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5.0</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1.8</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Greater Fresno</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Humboldt</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0.1</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Kern</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0.9</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Northern Coast</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0.5</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Other</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1.0</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2.4</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2.8</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2.1</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Sierra</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r w:rsidR="004567F4" w:rsidRPr="004567F4" w:rsidTr="00750605">
        <w:trPr>
          <w:trHeight w:val="240"/>
          <w:jc w:val="center"/>
        </w:trPr>
        <w:tc>
          <w:tcPr>
            <w:tcW w:w="825" w:type="dxa"/>
            <w:vMerge/>
            <w:tcBorders>
              <w:top w:val="nil"/>
              <w:left w:val="single" w:sz="4" w:space="0" w:color="000000"/>
              <w:bottom w:val="single" w:sz="4" w:space="0" w:color="000000"/>
              <w:right w:val="single" w:sz="4" w:space="0" w:color="000000"/>
            </w:tcBorders>
            <w:vAlign w:val="center"/>
            <w:hideMark/>
          </w:tcPr>
          <w:p w:rsidR="004567F4" w:rsidRPr="004567F4" w:rsidRDefault="004567F4" w:rsidP="00750605">
            <w:pPr>
              <w:spacing w:before="50" w:after="50" w:line="240" w:lineRule="auto"/>
              <w:rPr>
                <w:rFonts w:ascii="Arial" w:eastAsia="Times New Roman" w:hAnsi="Arial" w:cs="Arial"/>
                <w:color w:val="000000"/>
                <w:sz w:val="18"/>
                <w:szCs w:val="18"/>
              </w:rPr>
            </w:pPr>
          </w:p>
        </w:tc>
        <w:tc>
          <w:tcPr>
            <w:tcW w:w="1702"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Stockton</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16"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0.6</w:t>
            </w:r>
          </w:p>
        </w:tc>
        <w:tc>
          <w:tcPr>
            <w:tcW w:w="607"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4567F4" w:rsidRPr="004567F4" w:rsidRDefault="004567F4" w:rsidP="00750605">
            <w:pPr>
              <w:spacing w:before="50" w:after="50" w:line="240" w:lineRule="auto"/>
              <w:jc w:val="center"/>
              <w:rPr>
                <w:rFonts w:ascii="Arial" w:eastAsia="Times New Roman" w:hAnsi="Arial" w:cs="Arial"/>
                <w:color w:val="000000"/>
                <w:sz w:val="18"/>
                <w:szCs w:val="18"/>
              </w:rPr>
            </w:pPr>
            <w:r w:rsidRPr="004567F4">
              <w:rPr>
                <w:rFonts w:ascii="Arial" w:eastAsia="Times New Roman" w:hAnsi="Arial" w:cs="Arial"/>
                <w:color w:val="000000"/>
                <w:sz w:val="18"/>
                <w:szCs w:val="18"/>
              </w:rPr>
              <w:t>0.2</w:t>
            </w:r>
          </w:p>
        </w:tc>
      </w:tr>
    </w:tbl>
    <w:p w:rsidR="006A7080" w:rsidRDefault="006A7080" w:rsidP="006A7080">
      <w:pPr>
        <w:pStyle w:val="Heading2"/>
      </w:pPr>
      <w:bookmarkStart w:id="171" w:name="_Toc412650606"/>
      <w:bookmarkStart w:id="172" w:name="_Toc415494779"/>
      <w:r>
        <w:lastRenderedPageBreak/>
        <w:t>Small C&amp;I Ex Ante Impacts</w:t>
      </w:r>
      <w:bookmarkEnd w:id="171"/>
      <w:bookmarkEnd w:id="172"/>
    </w:p>
    <w:p w:rsidR="006A7080" w:rsidRDefault="006A7080" w:rsidP="006A7080">
      <w:pPr>
        <w:pStyle w:val="BodyParagraph"/>
        <w:tabs>
          <w:tab w:val="left" w:pos="4590"/>
        </w:tabs>
      </w:pPr>
      <w:r>
        <w:t>As was true for medium customers, there are no ex post impacts upon which to b</w:t>
      </w:r>
      <w:r w:rsidR="00F9581C">
        <w:t>as</w:t>
      </w:r>
      <w:r>
        <w:t>e ex ante</w:t>
      </w:r>
      <w:r w:rsidR="00F9581C">
        <w:t> </w:t>
      </w:r>
      <w:r>
        <w:t>estimates</w:t>
      </w:r>
      <w:proofErr w:type="gramStart"/>
      <w:r>
        <w:t xml:space="preserve">.  </w:t>
      </w:r>
      <w:proofErr w:type="gramEnd"/>
      <w:r>
        <w:t>As discussed in the prior section, a 2% load reduction is assumed to apply to</w:t>
      </w:r>
      <w:r w:rsidR="00F9581C">
        <w:t> </w:t>
      </w:r>
      <w:r>
        <w:t>small</w:t>
      </w:r>
      <w:r w:rsidR="002844CF">
        <w:t> </w:t>
      </w:r>
      <w:r w:rsidR="001D787D">
        <w:t>customers.</w:t>
      </w:r>
    </w:p>
    <w:p w:rsidR="004F5623" w:rsidRDefault="007C7B55" w:rsidP="006A7080">
      <w:pPr>
        <w:pStyle w:val="BodyParagraph"/>
        <w:tabs>
          <w:tab w:val="left" w:pos="4590"/>
        </w:tabs>
      </w:pPr>
      <w:r>
        <w:t>Table 5-12</w:t>
      </w:r>
      <w:r w:rsidR="006A7080">
        <w:t xml:space="preserve"> presents PG&amp;E's enrollment projections for small C&amp;I customers through 2025</w:t>
      </w:r>
      <w:proofErr w:type="gramStart"/>
      <w:r w:rsidR="006A7080">
        <w:t xml:space="preserve">.  </w:t>
      </w:r>
      <w:proofErr w:type="gramEnd"/>
      <w:r w:rsidR="004F5623">
        <w:t>As</w:t>
      </w:r>
      <w:r w:rsidR="00F9581C">
        <w:t> </w:t>
      </w:r>
      <w:r w:rsidR="004F5623">
        <w:t>with medium C&amp;I customers, small C&amp;I customers with at least 24-months of experience on</w:t>
      </w:r>
      <w:r w:rsidR="00F9581C">
        <w:t> </w:t>
      </w:r>
      <w:r w:rsidR="004F5623">
        <w:t>a TOU rate will be defaulted onto CPP in upcoming Novembers, leading to the increase in</w:t>
      </w:r>
      <w:r w:rsidR="00F9581C">
        <w:t> </w:t>
      </w:r>
      <w:r w:rsidR="004F5623">
        <w:t>enrollment toward the end of 2015, 2016 and 2017</w:t>
      </w:r>
      <w:proofErr w:type="gramStart"/>
      <w:r w:rsidR="006A7080">
        <w:t xml:space="preserve">.  </w:t>
      </w:r>
      <w:proofErr w:type="gramEnd"/>
      <w:r w:rsidR="004F5623">
        <w:t>Of the customers who were already defaulted in November 2014</w:t>
      </w:r>
      <w:r w:rsidR="006A7080">
        <w:t>, 151,023 small C&amp;I customers are projected to remain on CPP</w:t>
      </w:r>
      <w:proofErr w:type="gramStart"/>
      <w:r w:rsidR="006A7080">
        <w:t xml:space="preserve">.  </w:t>
      </w:r>
      <w:proofErr w:type="gramEnd"/>
      <w:r w:rsidR="004F5623">
        <w:t>By</w:t>
      </w:r>
      <w:r w:rsidR="00F9581C">
        <w:t> </w:t>
      </w:r>
      <w:r w:rsidR="004F5623">
        <w:t xml:space="preserve">November 2015, the small C&amp;I population is expected to reach enrollment of </w:t>
      </w:r>
      <w:r w:rsidR="004F5623" w:rsidRPr="004F5623">
        <w:t>185,932</w:t>
      </w:r>
      <w:r w:rsidR="004F5623">
        <w:t xml:space="preserve"> accounts, </w:t>
      </w:r>
      <w:r w:rsidR="004F5623" w:rsidRPr="004F5623">
        <w:t>203,973</w:t>
      </w:r>
      <w:r w:rsidR="004F5623">
        <w:t xml:space="preserve"> by November 2016, and </w:t>
      </w:r>
      <w:r w:rsidR="004F5623" w:rsidRPr="004F5623">
        <w:t>240,520</w:t>
      </w:r>
      <w:r w:rsidR="004F5623">
        <w:t xml:space="preserve"> by November 2017</w:t>
      </w:r>
      <w:proofErr w:type="gramStart"/>
      <w:r w:rsidR="004F5623">
        <w:t xml:space="preserve">.  </w:t>
      </w:r>
      <w:proofErr w:type="gramEnd"/>
      <w:r w:rsidR="004F5623">
        <w:t>The enrollment is expected to increase slowly thereafter as a result of growth in accounts</w:t>
      </w:r>
      <w:proofErr w:type="gramStart"/>
      <w:r w:rsidR="004F5623">
        <w:t xml:space="preserve">.  </w:t>
      </w:r>
      <w:proofErr w:type="gramEnd"/>
      <w:r w:rsidR="004F5623">
        <w:t>The development and</w:t>
      </w:r>
      <w:r w:rsidR="00F9581C">
        <w:t> </w:t>
      </w:r>
      <w:r w:rsidR="004F5623">
        <w:t xml:space="preserve">assumptions of PG&amp;E’s medium C&amp;I CPP enrollment forecast are documented in PG&amp;E’s </w:t>
      </w:r>
      <w:r w:rsidR="004F5623">
        <w:rPr>
          <w:i/>
        </w:rPr>
        <w:t>Executive Summary: 2015–2025</w:t>
      </w:r>
      <w:r w:rsidR="004F5623" w:rsidRPr="0041579B">
        <w:rPr>
          <w:i/>
        </w:rPr>
        <w:t xml:space="preserve"> Demand Response Portfolio of Pacific Gas and Electric Company</w:t>
      </w:r>
      <w:r w:rsidR="004F5623" w:rsidRPr="0041579B">
        <w:t>.</w:t>
      </w:r>
    </w:p>
    <w:p w:rsidR="006A7080" w:rsidRPr="002617A0" w:rsidRDefault="006A7080" w:rsidP="006A7080">
      <w:pPr>
        <w:pStyle w:val="TableFigureCaption"/>
        <w:spacing w:after="0"/>
      </w:pPr>
      <w:r w:rsidRPr="002617A0">
        <w:t>Table 5</w:t>
      </w:r>
      <w:r w:rsidR="007C7B55">
        <w:t>-12</w:t>
      </w:r>
      <w:r w:rsidRPr="002617A0">
        <w:t>: PG&amp;E Enrollment Pr</w:t>
      </w:r>
      <w:r>
        <w:t>ojections for Small</w:t>
      </w:r>
      <w:r w:rsidRPr="002617A0">
        <w:t xml:space="preserve"> </w:t>
      </w:r>
      <w:proofErr w:type="gramStart"/>
      <w:r w:rsidRPr="002617A0">
        <w:t>C&amp;I</w:t>
      </w:r>
      <w:proofErr w:type="gramEnd"/>
      <w:r w:rsidRPr="002617A0">
        <w:t xml:space="preserve"> CPP Customers</w:t>
      </w:r>
    </w:p>
    <w:p w:rsidR="006A7080" w:rsidRDefault="006A7080" w:rsidP="006A7080">
      <w:pPr>
        <w:pStyle w:val="TableFigureCaption"/>
      </w:pPr>
      <w:proofErr w:type="gramStart"/>
      <w:r w:rsidRPr="002617A0">
        <w:t>by</w:t>
      </w:r>
      <w:proofErr w:type="gramEnd"/>
      <w:r w:rsidRPr="002617A0">
        <w:t xml:space="preserve"> Forecast Year and Month</w:t>
      </w:r>
    </w:p>
    <w:tbl>
      <w:tblPr>
        <w:tblW w:w="11222" w:type="dxa"/>
        <w:jc w:val="center"/>
        <w:tblInd w:w="-25" w:type="dxa"/>
        <w:tblLook w:val="04A0" w:firstRow="1" w:lastRow="0" w:firstColumn="1" w:lastColumn="0" w:noHBand="0" w:noVBand="1"/>
      </w:tblPr>
      <w:tblGrid>
        <w:gridCol w:w="818"/>
        <w:gridCol w:w="867"/>
        <w:gridCol w:w="867"/>
        <w:gridCol w:w="867"/>
        <w:gridCol w:w="867"/>
        <w:gridCol w:w="867"/>
        <w:gridCol w:w="867"/>
        <w:gridCol w:w="867"/>
        <w:gridCol w:w="867"/>
        <w:gridCol w:w="867"/>
        <w:gridCol w:w="867"/>
        <w:gridCol w:w="867"/>
        <w:gridCol w:w="867"/>
      </w:tblGrid>
      <w:tr w:rsidR="006A7080" w:rsidRPr="001D787D" w:rsidTr="001D787D">
        <w:trPr>
          <w:trHeight w:val="240"/>
          <w:jc w:val="center"/>
        </w:trPr>
        <w:tc>
          <w:tcPr>
            <w:tcW w:w="818" w:type="dxa"/>
            <w:tcBorders>
              <w:top w:val="single" w:sz="4" w:space="0" w:color="000000"/>
              <w:left w:val="single" w:sz="4" w:space="0" w:color="000000"/>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Year</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Jan.</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Feb.</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Mar.</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Apr.</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May</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Jun.</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Jul.</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Aug.</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Sep.</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Oct.</w:t>
            </w:r>
          </w:p>
        </w:tc>
        <w:tc>
          <w:tcPr>
            <w:tcW w:w="867" w:type="dxa"/>
            <w:tcBorders>
              <w:top w:val="single" w:sz="4" w:space="0" w:color="000000"/>
              <w:left w:val="nil"/>
              <w:bottom w:val="single" w:sz="4" w:space="0" w:color="000000"/>
              <w:right w:val="single" w:sz="4" w:space="0" w:color="FFFFFF"/>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Nov.</w:t>
            </w:r>
          </w:p>
        </w:tc>
        <w:tc>
          <w:tcPr>
            <w:tcW w:w="867" w:type="dxa"/>
            <w:tcBorders>
              <w:top w:val="single" w:sz="4" w:space="0" w:color="000000"/>
              <w:left w:val="nil"/>
              <w:bottom w:val="single" w:sz="4" w:space="0" w:color="000000"/>
              <w:right w:val="single" w:sz="4" w:space="0" w:color="000000"/>
            </w:tcBorders>
            <w:shd w:val="clear" w:color="auto" w:fill="0070CD"/>
            <w:noWrap/>
            <w:vAlign w:val="center"/>
            <w:hideMark/>
          </w:tcPr>
          <w:p w:rsidR="006A7080" w:rsidRPr="001D787D" w:rsidRDefault="006A7080" w:rsidP="00750605">
            <w:pPr>
              <w:spacing w:before="60" w:after="60" w:line="240" w:lineRule="auto"/>
              <w:jc w:val="center"/>
              <w:rPr>
                <w:rFonts w:ascii="Arial" w:eastAsia="Times New Roman" w:hAnsi="Arial" w:cs="Arial"/>
                <w:b/>
                <w:bCs/>
                <w:color w:val="FFFFFF"/>
                <w:sz w:val="18"/>
                <w:szCs w:val="18"/>
              </w:rPr>
            </w:pPr>
            <w:r w:rsidRPr="001D787D">
              <w:rPr>
                <w:rFonts w:ascii="Arial" w:eastAsia="Times New Roman" w:hAnsi="Arial" w:cs="Arial"/>
                <w:b/>
                <w:bCs/>
                <w:color w:val="FFFFFF"/>
                <w:sz w:val="18"/>
                <w:szCs w:val="18"/>
              </w:rPr>
              <w:t>Dec.</w:t>
            </w:r>
          </w:p>
        </w:tc>
      </w:tr>
      <w:tr w:rsidR="006A7080" w:rsidRPr="001D787D" w:rsidTr="001D787D">
        <w:trPr>
          <w:trHeight w:val="240"/>
          <w:jc w:val="center"/>
        </w:trPr>
        <w:tc>
          <w:tcPr>
            <w:tcW w:w="818"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2015</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151,023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r>
      <w:tr w:rsidR="006A7080" w:rsidRPr="001D787D" w:rsidTr="001D787D">
        <w:trPr>
          <w:trHeight w:val="240"/>
          <w:jc w:val="center"/>
        </w:trPr>
        <w:tc>
          <w:tcPr>
            <w:tcW w:w="818"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2016</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185,932</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r>
      <w:tr w:rsidR="006A7080" w:rsidRPr="001D787D" w:rsidTr="001D787D">
        <w:trPr>
          <w:trHeight w:val="240"/>
          <w:jc w:val="center"/>
        </w:trPr>
        <w:tc>
          <w:tcPr>
            <w:tcW w:w="818"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2017</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203,973</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240,520</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240,520</w:t>
            </w:r>
          </w:p>
        </w:tc>
      </w:tr>
      <w:tr w:rsidR="006A7080" w:rsidRPr="001D787D" w:rsidTr="001D787D">
        <w:trPr>
          <w:trHeight w:val="240"/>
          <w:jc w:val="center"/>
        </w:trPr>
        <w:tc>
          <w:tcPr>
            <w:tcW w:w="818" w:type="dxa"/>
            <w:tcBorders>
              <w:top w:val="nil"/>
              <w:left w:val="single" w:sz="4" w:space="0" w:color="000000"/>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2025</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243,264</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244,360</w:t>
            </w:r>
          </w:p>
        </w:tc>
        <w:tc>
          <w:tcPr>
            <w:tcW w:w="867" w:type="dxa"/>
            <w:tcBorders>
              <w:top w:val="nil"/>
              <w:left w:val="nil"/>
              <w:bottom w:val="single" w:sz="4" w:space="0" w:color="000000"/>
              <w:right w:val="single" w:sz="4" w:space="0" w:color="000000"/>
            </w:tcBorders>
            <w:shd w:val="clear" w:color="auto" w:fill="auto"/>
            <w:noWrap/>
            <w:vAlign w:val="center"/>
            <w:hideMark/>
          </w:tcPr>
          <w:p w:rsidR="006A7080" w:rsidRPr="001D787D" w:rsidRDefault="006A7080" w:rsidP="00750605">
            <w:pPr>
              <w:spacing w:before="60" w:after="60" w:line="240" w:lineRule="auto"/>
              <w:jc w:val="center"/>
              <w:rPr>
                <w:rFonts w:ascii="Arial" w:eastAsia="Times New Roman" w:hAnsi="Arial" w:cs="Arial"/>
                <w:color w:val="000000"/>
                <w:sz w:val="18"/>
                <w:szCs w:val="18"/>
              </w:rPr>
            </w:pPr>
            <w:r w:rsidRPr="001D787D">
              <w:rPr>
                <w:rFonts w:ascii="Arial" w:eastAsia="Times New Roman" w:hAnsi="Arial" w:cs="Arial"/>
                <w:color w:val="000000"/>
                <w:sz w:val="18"/>
                <w:szCs w:val="18"/>
              </w:rPr>
              <w:t>244,360</w:t>
            </w:r>
          </w:p>
        </w:tc>
      </w:tr>
    </w:tbl>
    <w:p w:rsidR="006A7080" w:rsidRPr="004C65EF" w:rsidRDefault="006A7080" w:rsidP="004F5623">
      <w:pPr>
        <w:pStyle w:val="Heading3"/>
        <w:spacing w:before="360"/>
        <w:rPr>
          <w:rFonts w:cs="Calibri"/>
        </w:rPr>
      </w:pPr>
      <w:bookmarkStart w:id="173" w:name="_Toc412650607"/>
      <w:bookmarkStart w:id="174" w:name="_Toc415494780"/>
      <w:r w:rsidRPr="004C65EF">
        <w:t>Annual System Peak Day Impacts</w:t>
      </w:r>
      <w:bookmarkEnd w:id="173"/>
      <w:bookmarkEnd w:id="174"/>
    </w:p>
    <w:p w:rsidR="006A7080" w:rsidRPr="004C65EF" w:rsidRDefault="007C7B55" w:rsidP="006A7080">
      <w:pPr>
        <w:pStyle w:val="BodyParagraph"/>
      </w:pPr>
      <w:r>
        <w:t>Table 5-13</w:t>
      </w:r>
      <w:r w:rsidR="006A7080" w:rsidRPr="004C65EF">
        <w:t xml:space="preserve"> summarizes the aggregate </w:t>
      </w:r>
      <w:r w:rsidR="006A7080">
        <w:t>load impact estimates for small</w:t>
      </w:r>
      <w:r w:rsidR="006A7080" w:rsidRPr="004C65EF">
        <w:t xml:space="preserve"> C&amp;I customers on PG&amp;E’s CPP rate for each forecast year under both</w:t>
      </w:r>
      <w:r w:rsidR="006A7080">
        <w:t xml:space="preserve"> 1-in-2 and 1-in-10 year weather</w:t>
      </w:r>
      <w:r w:rsidR="006A7080" w:rsidRPr="004C65EF">
        <w:t xml:space="preserve"> scenarios</w:t>
      </w:r>
      <w:r w:rsidR="005F62D3">
        <w:t>,</w:t>
      </w:r>
      <w:r w:rsidR="006A7080">
        <w:t xml:space="preserve"> based on both PG&amp;E and CAISO weather scenarios</w:t>
      </w:r>
      <w:proofErr w:type="gramStart"/>
      <w:r w:rsidR="006A7080" w:rsidRPr="004C65EF">
        <w:t xml:space="preserve">.  </w:t>
      </w:r>
      <w:proofErr w:type="gramEnd"/>
      <w:r w:rsidR="006A7080" w:rsidRPr="004C65EF">
        <w:t>The table shows the average load reduction across the 1</w:t>
      </w:r>
      <w:r w:rsidR="006A7080">
        <w:t xml:space="preserve"> to </w:t>
      </w:r>
      <w:r w:rsidR="006A7080" w:rsidRPr="004C65EF">
        <w:t>6 PM event period for an August monthly system peak day.</w:t>
      </w:r>
    </w:p>
    <w:p w:rsidR="005F62D3" w:rsidRDefault="006A7080" w:rsidP="005F62D3">
      <w:pPr>
        <w:pStyle w:val="BodyParagraph"/>
      </w:pPr>
      <w:r>
        <w:t xml:space="preserve">Looking first at the aggregate load impacts based on PG&amp;E-specific weather, </w:t>
      </w:r>
      <w:r w:rsidR="005F62D3">
        <w:t xml:space="preserve">August </w:t>
      </w:r>
      <w:r>
        <w:t xml:space="preserve">load reductions </w:t>
      </w:r>
      <w:r w:rsidR="00F9581C">
        <w:t xml:space="preserve">will </w:t>
      </w:r>
      <w:r>
        <w:t>grow</w:t>
      </w:r>
      <w:r w:rsidR="00D66B1C">
        <w:t xml:space="preserve"> from 7</w:t>
      </w:r>
      <w:r w:rsidR="005F62D3">
        <w:t>.5 MW</w:t>
      </w:r>
      <w:r w:rsidRPr="004C65EF">
        <w:t xml:space="preserve"> </w:t>
      </w:r>
      <w:r w:rsidR="00D66B1C">
        <w:t>to 10.5</w:t>
      </w:r>
      <w:r>
        <w:t xml:space="preserve"> MW in 2017 under 1-in-10</w:t>
      </w:r>
      <w:r w:rsidRPr="004C65EF">
        <w:t xml:space="preserve"> weather conditions</w:t>
      </w:r>
      <w:r w:rsidR="00D66B1C">
        <w:t>, and peak at around 13</w:t>
      </w:r>
      <w:r>
        <w:t xml:space="preserve"> MW in 2025</w:t>
      </w:r>
      <w:proofErr w:type="gramStart"/>
      <w:r w:rsidRPr="004C65EF">
        <w:t xml:space="preserve">.  </w:t>
      </w:r>
      <w:proofErr w:type="gramEnd"/>
      <w:r w:rsidR="005F62D3">
        <w:t xml:space="preserve">This growth is due to </w:t>
      </w:r>
      <w:r w:rsidR="005F62D3" w:rsidRPr="004C65EF">
        <w:t xml:space="preserve">the implementation </w:t>
      </w:r>
      <w:r w:rsidR="005F62D3">
        <w:t xml:space="preserve">of default CPP over three more Novembers </w:t>
      </w:r>
      <w:r w:rsidR="005F62D3" w:rsidRPr="004C65EF">
        <w:t xml:space="preserve">as more </w:t>
      </w:r>
      <w:r w:rsidR="005F62D3">
        <w:t>small</w:t>
      </w:r>
      <w:r w:rsidR="005F62D3" w:rsidRPr="004C65EF">
        <w:t xml:space="preserve"> C&amp;I customers meet default criteria</w:t>
      </w:r>
      <w:proofErr w:type="gramStart"/>
      <w:r>
        <w:t>.</w:t>
      </w:r>
      <w:r w:rsidRPr="004C65EF">
        <w:t xml:space="preserve"> </w:t>
      </w:r>
      <w:r w:rsidR="005F62D3">
        <w:t xml:space="preserve"> </w:t>
      </w:r>
      <w:proofErr w:type="gramEnd"/>
      <w:r w:rsidR="00F9581C">
        <w:t>After</w:t>
      </w:r>
      <w:r w:rsidR="005F62D3" w:rsidRPr="004C65EF">
        <w:t xml:space="preserve"> default CPP is</w:t>
      </w:r>
      <w:r w:rsidR="00F9581C">
        <w:t> </w:t>
      </w:r>
      <w:r w:rsidR="005F62D3" w:rsidRPr="004C65EF">
        <w:t xml:space="preserve">fully implemented, </w:t>
      </w:r>
      <w:r w:rsidR="005F62D3">
        <w:t>small</w:t>
      </w:r>
      <w:r w:rsidR="005F62D3" w:rsidRPr="004C65EF">
        <w:t xml:space="preserve"> customers are foreca</w:t>
      </w:r>
      <w:r w:rsidR="005F62D3">
        <w:t>sted to reduce 2</w:t>
      </w:r>
      <w:r w:rsidR="005F62D3" w:rsidRPr="004C65EF">
        <w:t>% of their demand under</w:t>
      </w:r>
      <w:r w:rsidR="005F62D3">
        <w:t xml:space="preserve"> all weather conditions</w:t>
      </w:r>
      <w:proofErr w:type="gramStart"/>
      <w:r w:rsidR="005F62D3" w:rsidRPr="004C65EF">
        <w:t>.</w:t>
      </w:r>
      <w:r w:rsidR="005F62D3">
        <w:t xml:space="preserve">  </w:t>
      </w:r>
      <w:proofErr w:type="gramEnd"/>
      <w:r w:rsidR="005F62D3">
        <w:t>The estimated percent reductions are constant as enrollment increases. Impact estimates based on CAISO weather 1-in</w:t>
      </w:r>
      <w:r w:rsidR="00D66B1C">
        <w:t>-2 year conditions are roughly 10</w:t>
      </w:r>
      <w:r w:rsidR="005F62D3">
        <w:t>% less than the</w:t>
      </w:r>
      <w:r w:rsidR="00F9581C">
        <w:t> </w:t>
      </w:r>
      <w:r w:rsidR="005F62D3">
        <w:t>estimate</w:t>
      </w:r>
      <w:r w:rsidR="006D677D">
        <w:t>s based on PG&amp;E weather</w:t>
      </w:r>
      <w:proofErr w:type="gramStart"/>
      <w:r w:rsidR="006D677D">
        <w:t xml:space="preserve">.  </w:t>
      </w:r>
      <w:proofErr w:type="gramEnd"/>
      <w:r w:rsidR="006D677D">
        <w:t>The C</w:t>
      </w:r>
      <w:r w:rsidR="005F62D3">
        <w:t>A</w:t>
      </w:r>
      <w:r w:rsidR="006D677D">
        <w:t>I</w:t>
      </w:r>
      <w:r w:rsidR="005F62D3">
        <w:t xml:space="preserve">SO 1-in-10 weather values produce </w:t>
      </w:r>
      <w:r w:rsidR="00D66B1C">
        <w:t>a load reduction that is about 5</w:t>
      </w:r>
      <w:r w:rsidR="005F62D3">
        <w:t>% less than the 1-in-10 year PG&amp;E estimates.</w:t>
      </w:r>
    </w:p>
    <w:p w:rsidR="005F62D3" w:rsidRDefault="005F62D3" w:rsidP="006A7080">
      <w:pPr>
        <w:pStyle w:val="BodyParagraph"/>
      </w:pPr>
    </w:p>
    <w:p w:rsidR="00D62FC0" w:rsidRDefault="00D62FC0" w:rsidP="006A7080">
      <w:pPr>
        <w:pStyle w:val="BodyParagraph"/>
      </w:pPr>
      <w:r>
        <w:br w:type="page"/>
      </w:r>
    </w:p>
    <w:p w:rsidR="006A7080" w:rsidRDefault="007C7B55" w:rsidP="006A7080">
      <w:pPr>
        <w:pStyle w:val="TableFigureCaption"/>
      </w:pPr>
      <w:r>
        <w:lastRenderedPageBreak/>
        <w:t>Table 5-13</w:t>
      </w:r>
      <w:r w:rsidR="006A7080" w:rsidRPr="00817826">
        <w:t xml:space="preserve">: </w:t>
      </w:r>
      <w:r w:rsidR="006A7080">
        <w:t xml:space="preserve">Aggregate </w:t>
      </w:r>
      <w:r w:rsidR="006A7080" w:rsidRPr="00817826">
        <w:t>Default CPP Ex Ante Load Impact Estimate</w:t>
      </w:r>
      <w:r w:rsidR="006A7080">
        <w:t>s by Weather Scenario for Small</w:t>
      </w:r>
      <w:r w:rsidR="006A7080" w:rsidRPr="00817826">
        <w:t xml:space="preserve"> C&amp;I</w:t>
      </w:r>
      <w:r w:rsidR="005F62D3">
        <w:t xml:space="preserve">, </w:t>
      </w:r>
      <w:r w:rsidR="006A7080" w:rsidRPr="00817826">
        <w:t>PG&amp;E August System Peak Day (</w:t>
      </w:r>
      <w:r w:rsidR="005F62D3">
        <w:t>1-</w:t>
      </w:r>
      <w:r w:rsidR="006A7080" w:rsidRPr="00817826">
        <w:t>6 PM)</w:t>
      </w:r>
    </w:p>
    <w:tbl>
      <w:tblPr>
        <w:tblW w:w="10301" w:type="dxa"/>
        <w:jc w:val="center"/>
        <w:tblInd w:w="-295" w:type="dxa"/>
        <w:tblLook w:val="04A0" w:firstRow="1" w:lastRow="0" w:firstColumn="1" w:lastColumn="0" w:noHBand="0" w:noVBand="1"/>
      </w:tblPr>
      <w:tblGrid>
        <w:gridCol w:w="927"/>
        <w:gridCol w:w="927"/>
        <w:gridCol w:w="737"/>
        <w:gridCol w:w="1037"/>
        <w:gridCol w:w="1620"/>
        <w:gridCol w:w="1633"/>
        <w:gridCol w:w="1305"/>
        <w:gridCol w:w="1096"/>
        <w:gridCol w:w="1026"/>
      </w:tblGrid>
      <w:tr w:rsidR="00744453" w:rsidRPr="00D66B1C" w:rsidTr="00744453">
        <w:trPr>
          <w:trHeight w:val="620"/>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bookmarkStart w:id="175" w:name="_Toc412650608"/>
            <w:r w:rsidRPr="00D66B1C">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Weather Year</w:t>
            </w:r>
          </w:p>
        </w:tc>
        <w:tc>
          <w:tcPr>
            <w:tcW w:w="7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Year</w:t>
            </w:r>
          </w:p>
        </w:tc>
        <w:tc>
          <w:tcPr>
            <w:tcW w:w="103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Enrolled Accounts</w:t>
            </w:r>
          </w:p>
        </w:tc>
        <w:tc>
          <w:tcPr>
            <w:tcW w:w="1620" w:type="dxa"/>
            <w:tcBorders>
              <w:top w:val="single" w:sz="4" w:space="0" w:color="auto"/>
              <w:left w:val="nil"/>
              <w:bottom w:val="single" w:sz="4" w:space="0" w:color="FFFFFF"/>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Aggregate Reference Load</w:t>
            </w:r>
          </w:p>
        </w:tc>
        <w:tc>
          <w:tcPr>
            <w:tcW w:w="1633" w:type="dxa"/>
            <w:tcBorders>
              <w:top w:val="single" w:sz="4" w:space="0" w:color="auto"/>
              <w:left w:val="nil"/>
              <w:bottom w:val="single" w:sz="4" w:space="0" w:color="FFFFFF"/>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Aggregate Estimated Load w/ DR</w:t>
            </w:r>
          </w:p>
        </w:tc>
        <w:tc>
          <w:tcPr>
            <w:tcW w:w="1305" w:type="dxa"/>
            <w:tcBorders>
              <w:top w:val="single" w:sz="4" w:space="0" w:color="auto"/>
              <w:left w:val="nil"/>
              <w:bottom w:val="single" w:sz="4" w:space="0" w:color="FFFFFF"/>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Aggregate Load Impact</w:t>
            </w:r>
          </w:p>
        </w:tc>
        <w:tc>
          <w:tcPr>
            <w:tcW w:w="1096" w:type="dxa"/>
            <w:tcBorders>
              <w:top w:val="single" w:sz="4" w:space="0" w:color="auto"/>
              <w:left w:val="nil"/>
              <w:bottom w:val="single" w:sz="4" w:space="0" w:color="FFFFFF"/>
              <w:right w:val="single" w:sz="4" w:space="0" w:color="FFFFFF"/>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 Load Reduction</w:t>
            </w:r>
          </w:p>
        </w:tc>
        <w:tc>
          <w:tcPr>
            <w:tcW w:w="1026" w:type="dxa"/>
            <w:tcBorders>
              <w:top w:val="single" w:sz="4" w:space="0" w:color="auto"/>
              <w:left w:val="nil"/>
              <w:bottom w:val="single" w:sz="4" w:space="0" w:color="FFFFFF"/>
              <w:right w:val="single" w:sz="4" w:space="0" w:color="auto"/>
            </w:tcBorders>
            <w:shd w:val="clear" w:color="000000" w:fill="0070D0"/>
            <w:vAlign w:val="center"/>
            <w:hideMark/>
          </w:tcPr>
          <w:p w:rsidR="00D66B1C" w:rsidRPr="00D66B1C" w:rsidRDefault="00D66B1C" w:rsidP="00750605">
            <w:pPr>
              <w:spacing w:before="60" w:after="60" w:line="240" w:lineRule="auto"/>
              <w:jc w:val="center"/>
              <w:rPr>
                <w:rFonts w:ascii="Arial" w:eastAsia="Times New Roman" w:hAnsi="Arial" w:cs="Arial"/>
                <w:b/>
                <w:bCs/>
                <w:color w:val="FFFFFF"/>
                <w:sz w:val="18"/>
                <w:szCs w:val="18"/>
              </w:rPr>
            </w:pPr>
            <w:r w:rsidRPr="00D66B1C">
              <w:rPr>
                <w:rFonts w:ascii="Arial" w:eastAsia="Times New Roman" w:hAnsi="Arial" w:cs="Arial"/>
                <w:b/>
                <w:bCs/>
                <w:color w:val="FFFFFF"/>
                <w:sz w:val="18"/>
                <w:szCs w:val="18"/>
              </w:rPr>
              <w:t>Weighted Temp.</w:t>
            </w:r>
          </w:p>
        </w:tc>
      </w:tr>
      <w:tr w:rsidR="00744453" w:rsidRPr="00D66B1C" w:rsidTr="00744453">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D66B1C" w:rsidRPr="00D66B1C" w:rsidRDefault="00D66B1C" w:rsidP="00750605">
            <w:pPr>
              <w:spacing w:before="60" w:after="6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D66B1C" w:rsidRPr="00D66B1C" w:rsidRDefault="00D66B1C" w:rsidP="00750605">
            <w:pPr>
              <w:spacing w:before="60" w:after="60" w:line="240" w:lineRule="auto"/>
              <w:rPr>
                <w:rFonts w:ascii="Arial" w:eastAsia="Times New Roman" w:hAnsi="Arial" w:cs="Arial"/>
                <w:b/>
                <w:bCs/>
                <w:color w:val="FFFFFF"/>
                <w:sz w:val="18"/>
                <w:szCs w:val="18"/>
              </w:rPr>
            </w:pPr>
          </w:p>
        </w:tc>
        <w:tc>
          <w:tcPr>
            <w:tcW w:w="737" w:type="dxa"/>
            <w:vMerge/>
            <w:tcBorders>
              <w:top w:val="single" w:sz="4" w:space="0" w:color="auto"/>
              <w:left w:val="single" w:sz="4" w:space="0" w:color="FFFFFF"/>
              <w:bottom w:val="single" w:sz="4" w:space="0" w:color="000000"/>
              <w:right w:val="single" w:sz="4" w:space="0" w:color="FFFFFF"/>
            </w:tcBorders>
            <w:vAlign w:val="center"/>
            <w:hideMark/>
          </w:tcPr>
          <w:p w:rsidR="00D66B1C" w:rsidRPr="00D66B1C" w:rsidRDefault="00D66B1C" w:rsidP="00750605">
            <w:pPr>
              <w:spacing w:before="60" w:after="60" w:line="240" w:lineRule="auto"/>
              <w:rPr>
                <w:rFonts w:ascii="Arial" w:eastAsia="Times New Roman" w:hAnsi="Arial" w:cs="Arial"/>
                <w:b/>
                <w:bCs/>
                <w:color w:val="FFFFFF"/>
                <w:sz w:val="18"/>
                <w:szCs w:val="18"/>
              </w:rPr>
            </w:pPr>
          </w:p>
        </w:tc>
        <w:tc>
          <w:tcPr>
            <w:tcW w:w="1030" w:type="dxa"/>
            <w:vMerge/>
            <w:tcBorders>
              <w:top w:val="single" w:sz="4" w:space="0" w:color="auto"/>
              <w:left w:val="single" w:sz="4" w:space="0" w:color="FFFFFF"/>
              <w:bottom w:val="single" w:sz="4" w:space="0" w:color="000000"/>
              <w:right w:val="single" w:sz="4" w:space="0" w:color="FFFFFF"/>
            </w:tcBorders>
            <w:vAlign w:val="center"/>
            <w:hideMark/>
          </w:tcPr>
          <w:p w:rsidR="00D66B1C" w:rsidRPr="00D66B1C" w:rsidRDefault="00D66B1C" w:rsidP="00750605">
            <w:pPr>
              <w:spacing w:before="60" w:after="60" w:line="240" w:lineRule="auto"/>
              <w:rPr>
                <w:rFonts w:ascii="Arial" w:eastAsia="Times New Roman" w:hAnsi="Arial" w:cs="Arial"/>
                <w:b/>
                <w:bCs/>
                <w:color w:val="FFFFFF"/>
                <w:sz w:val="18"/>
                <w:szCs w:val="18"/>
              </w:rPr>
            </w:pPr>
          </w:p>
        </w:tc>
        <w:tc>
          <w:tcPr>
            <w:tcW w:w="1620" w:type="dxa"/>
            <w:tcBorders>
              <w:top w:val="nil"/>
              <w:left w:val="nil"/>
              <w:bottom w:val="single" w:sz="4" w:space="0" w:color="auto"/>
              <w:right w:val="single" w:sz="4" w:space="0" w:color="FFFFFF"/>
            </w:tcBorders>
            <w:shd w:val="clear" w:color="000000" w:fill="0070D0"/>
            <w:vAlign w:val="center"/>
            <w:hideMark/>
          </w:tcPr>
          <w:p w:rsidR="00D66B1C" w:rsidRPr="00750605" w:rsidRDefault="00D66B1C" w:rsidP="00750605">
            <w:pPr>
              <w:spacing w:before="60" w:after="60" w:line="240" w:lineRule="auto"/>
              <w:jc w:val="center"/>
              <w:rPr>
                <w:rFonts w:ascii="Arial" w:eastAsia="Times New Roman" w:hAnsi="Arial" w:cs="Arial"/>
                <w:b/>
                <w:color w:val="FFFFFF"/>
                <w:sz w:val="18"/>
                <w:szCs w:val="18"/>
              </w:rPr>
            </w:pPr>
            <w:r w:rsidRPr="00750605">
              <w:rPr>
                <w:rFonts w:ascii="Arial" w:eastAsia="Times New Roman" w:hAnsi="Arial" w:cs="Arial"/>
                <w:b/>
                <w:color w:val="FFFFFF"/>
                <w:sz w:val="18"/>
                <w:szCs w:val="18"/>
              </w:rPr>
              <w:t>(MW 1-6 PM)</w:t>
            </w:r>
          </w:p>
        </w:tc>
        <w:tc>
          <w:tcPr>
            <w:tcW w:w="1633" w:type="dxa"/>
            <w:tcBorders>
              <w:top w:val="nil"/>
              <w:left w:val="nil"/>
              <w:bottom w:val="single" w:sz="4" w:space="0" w:color="auto"/>
              <w:right w:val="single" w:sz="4" w:space="0" w:color="FFFFFF"/>
            </w:tcBorders>
            <w:shd w:val="clear" w:color="000000" w:fill="0070D0"/>
            <w:vAlign w:val="center"/>
            <w:hideMark/>
          </w:tcPr>
          <w:p w:rsidR="00D66B1C" w:rsidRPr="00750605" w:rsidRDefault="00D66B1C" w:rsidP="00750605">
            <w:pPr>
              <w:spacing w:before="60" w:after="60" w:line="240" w:lineRule="auto"/>
              <w:jc w:val="center"/>
              <w:rPr>
                <w:rFonts w:ascii="Arial" w:eastAsia="Times New Roman" w:hAnsi="Arial" w:cs="Arial"/>
                <w:b/>
                <w:color w:val="FFFFFF"/>
                <w:sz w:val="18"/>
                <w:szCs w:val="18"/>
              </w:rPr>
            </w:pPr>
            <w:r w:rsidRPr="00750605">
              <w:rPr>
                <w:rFonts w:ascii="Arial" w:eastAsia="Times New Roman" w:hAnsi="Arial" w:cs="Arial"/>
                <w:b/>
                <w:color w:val="FFFFFF"/>
                <w:sz w:val="18"/>
                <w:szCs w:val="18"/>
              </w:rPr>
              <w:t>(MW 1-6 PM)</w:t>
            </w:r>
          </w:p>
        </w:tc>
        <w:tc>
          <w:tcPr>
            <w:tcW w:w="1305" w:type="dxa"/>
            <w:tcBorders>
              <w:top w:val="nil"/>
              <w:left w:val="nil"/>
              <w:bottom w:val="single" w:sz="4" w:space="0" w:color="auto"/>
              <w:right w:val="single" w:sz="4" w:space="0" w:color="FFFFFF"/>
            </w:tcBorders>
            <w:shd w:val="clear" w:color="000000" w:fill="0070D0"/>
            <w:vAlign w:val="center"/>
            <w:hideMark/>
          </w:tcPr>
          <w:p w:rsidR="00D66B1C" w:rsidRPr="00750605" w:rsidRDefault="00D66B1C" w:rsidP="00750605">
            <w:pPr>
              <w:spacing w:before="60" w:after="60" w:line="240" w:lineRule="auto"/>
              <w:jc w:val="center"/>
              <w:rPr>
                <w:rFonts w:ascii="Arial" w:eastAsia="Times New Roman" w:hAnsi="Arial" w:cs="Arial"/>
                <w:b/>
                <w:color w:val="FFFFFF"/>
                <w:sz w:val="18"/>
                <w:szCs w:val="18"/>
              </w:rPr>
            </w:pPr>
            <w:r w:rsidRPr="00750605">
              <w:rPr>
                <w:rFonts w:ascii="Arial" w:eastAsia="Times New Roman" w:hAnsi="Arial" w:cs="Arial"/>
                <w:b/>
                <w:color w:val="FFFFFF"/>
                <w:sz w:val="18"/>
                <w:szCs w:val="18"/>
              </w:rPr>
              <w:t>(MW 1-6 PM)</w:t>
            </w:r>
          </w:p>
        </w:tc>
        <w:tc>
          <w:tcPr>
            <w:tcW w:w="1096" w:type="dxa"/>
            <w:tcBorders>
              <w:top w:val="nil"/>
              <w:left w:val="nil"/>
              <w:bottom w:val="single" w:sz="4" w:space="0" w:color="auto"/>
              <w:right w:val="single" w:sz="4" w:space="0" w:color="FFFFFF"/>
            </w:tcBorders>
            <w:shd w:val="clear" w:color="000000" w:fill="0070D0"/>
            <w:vAlign w:val="center"/>
            <w:hideMark/>
          </w:tcPr>
          <w:p w:rsidR="00D66B1C" w:rsidRPr="00750605" w:rsidRDefault="00D66B1C" w:rsidP="00750605">
            <w:pPr>
              <w:spacing w:before="60" w:after="60" w:line="240" w:lineRule="auto"/>
              <w:jc w:val="center"/>
              <w:rPr>
                <w:rFonts w:ascii="Arial" w:eastAsia="Times New Roman" w:hAnsi="Arial" w:cs="Arial"/>
                <w:b/>
                <w:color w:val="FFFFFF"/>
                <w:sz w:val="18"/>
                <w:szCs w:val="18"/>
              </w:rPr>
            </w:pPr>
            <w:r w:rsidRPr="00750605">
              <w:rPr>
                <w:rFonts w:ascii="Arial" w:eastAsia="Times New Roman" w:hAnsi="Arial" w:cs="Arial"/>
                <w:b/>
                <w:color w:val="FFFFFF"/>
                <w:sz w:val="18"/>
                <w:szCs w:val="18"/>
              </w:rPr>
              <w:t>(%)</w:t>
            </w:r>
          </w:p>
        </w:tc>
        <w:tc>
          <w:tcPr>
            <w:tcW w:w="1026" w:type="dxa"/>
            <w:tcBorders>
              <w:top w:val="nil"/>
              <w:left w:val="nil"/>
              <w:bottom w:val="single" w:sz="4" w:space="0" w:color="auto"/>
              <w:right w:val="single" w:sz="4" w:space="0" w:color="auto"/>
            </w:tcBorders>
            <w:shd w:val="clear" w:color="000000" w:fill="0070D0"/>
            <w:vAlign w:val="center"/>
            <w:hideMark/>
          </w:tcPr>
          <w:p w:rsidR="00D66B1C" w:rsidRPr="00750605" w:rsidRDefault="00D66B1C" w:rsidP="00750605">
            <w:pPr>
              <w:spacing w:before="60" w:after="60" w:line="240" w:lineRule="auto"/>
              <w:jc w:val="center"/>
              <w:rPr>
                <w:rFonts w:ascii="Arial" w:eastAsia="Times New Roman" w:hAnsi="Arial" w:cs="Arial"/>
                <w:b/>
                <w:color w:val="FFFFFF"/>
                <w:sz w:val="18"/>
                <w:szCs w:val="18"/>
              </w:rPr>
            </w:pPr>
            <w:r w:rsidRPr="00750605">
              <w:rPr>
                <w:rFonts w:ascii="Arial" w:eastAsia="Times New Roman" w:hAnsi="Arial" w:cs="Arial"/>
                <w:b/>
                <w:color w:val="FFFFFF"/>
                <w:sz w:val="18"/>
                <w:szCs w:val="18"/>
              </w:rPr>
              <w:t>(°F)</w:t>
            </w:r>
          </w:p>
        </w:tc>
      </w:tr>
      <w:tr w:rsidR="00744453" w:rsidRPr="00D66B1C" w:rsidTr="00744453">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PG&amp;E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1-in-10</w:t>
            </w: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151,023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472.6</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465.0</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7.5</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96.4</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2016</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185,932</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588.5</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579.1</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9.4</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95.7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2017</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203,973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656.1</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645.7</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10.5</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95.7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2025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243,264</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797.7</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785.0</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12.7</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95.6</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1-in-2</w:t>
            </w: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151,023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431.4</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424.6</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6.9</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92.6</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2016</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185,932</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537.5</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529.0</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8.6</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92.0</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2017</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203,973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599.2</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589.6</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9.5</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92.0</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2025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243,264</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728.4</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716.8</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11.6</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91.9</w:t>
            </w:r>
          </w:p>
        </w:tc>
      </w:tr>
      <w:tr w:rsidR="00744453" w:rsidRPr="00D66B1C" w:rsidTr="00744453">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1-in-10</w:t>
            </w: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151,023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446.6</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439.5</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7.1</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93.3</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2016</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185,932</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556.3</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547.5</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8.9</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2017</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203,973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620.0</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610.1</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9.9</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2025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243,264</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753.6</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741.6</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12.0</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92.6</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1-in-2</w:t>
            </w: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151,023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387.9</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381.7</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6.2</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89.2</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2016</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185,932</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483.6</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475.9</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7.7</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88.7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2017</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203,973</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539.2</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530.6</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8.6</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88.7</w:t>
            </w:r>
          </w:p>
        </w:tc>
      </w:tr>
      <w:tr w:rsidR="00744453" w:rsidRPr="00D66B1C" w:rsidTr="00744453">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66B1C" w:rsidRPr="00D66B1C" w:rsidRDefault="00D66B1C" w:rsidP="00750605">
            <w:pPr>
              <w:spacing w:before="60" w:after="60" w:line="240" w:lineRule="auto"/>
              <w:rPr>
                <w:rFonts w:ascii="Arial" w:eastAsia="Times New Roman" w:hAnsi="Arial" w:cs="Arial"/>
                <w:color w:val="000000"/>
                <w:sz w:val="18"/>
                <w:szCs w:val="18"/>
              </w:rPr>
            </w:pPr>
          </w:p>
        </w:tc>
        <w:tc>
          <w:tcPr>
            <w:tcW w:w="737"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2025</w:t>
            </w:r>
          </w:p>
        </w:tc>
        <w:tc>
          <w:tcPr>
            <w:tcW w:w="103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243,264</w:t>
            </w:r>
          </w:p>
        </w:tc>
        <w:tc>
          <w:tcPr>
            <w:tcW w:w="1620"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655.6</w:t>
            </w:r>
          </w:p>
        </w:tc>
        <w:tc>
          <w:tcPr>
            <w:tcW w:w="1633"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645.2</w:t>
            </w:r>
          </w:p>
        </w:tc>
        <w:tc>
          <w:tcPr>
            <w:tcW w:w="1305"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10.5</w:t>
            </w:r>
          </w:p>
        </w:tc>
        <w:tc>
          <w:tcPr>
            <w:tcW w:w="109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66B1C" w:rsidRPr="00D66B1C" w:rsidRDefault="00D66B1C" w:rsidP="00750605">
            <w:pPr>
              <w:spacing w:before="60" w:after="60" w:line="240" w:lineRule="auto"/>
              <w:jc w:val="center"/>
              <w:rPr>
                <w:rFonts w:ascii="Arial" w:eastAsia="Times New Roman" w:hAnsi="Arial" w:cs="Arial"/>
                <w:color w:val="000000"/>
                <w:sz w:val="18"/>
                <w:szCs w:val="18"/>
              </w:rPr>
            </w:pPr>
            <w:r w:rsidRPr="00D66B1C">
              <w:rPr>
                <w:rFonts w:ascii="Arial" w:eastAsia="Times New Roman" w:hAnsi="Arial" w:cs="Arial"/>
                <w:color w:val="000000"/>
                <w:sz w:val="18"/>
                <w:szCs w:val="18"/>
              </w:rPr>
              <w:t>88.6</w:t>
            </w:r>
          </w:p>
        </w:tc>
      </w:tr>
    </w:tbl>
    <w:p w:rsidR="006A7080" w:rsidRPr="00A907B2" w:rsidRDefault="006A7080" w:rsidP="005F62D3">
      <w:pPr>
        <w:pStyle w:val="Heading3"/>
        <w:spacing w:before="360"/>
      </w:pPr>
      <w:bookmarkStart w:id="176" w:name="_Toc415494781"/>
      <w:r>
        <w:t>Ex Ante Impacts by Geographic Location</w:t>
      </w:r>
      <w:bookmarkEnd w:id="175"/>
      <w:r>
        <w:t xml:space="preserve"> and Month</w:t>
      </w:r>
      <w:bookmarkEnd w:id="176"/>
    </w:p>
    <w:p w:rsidR="00D62FC0" w:rsidRDefault="004C60D5" w:rsidP="006A7080">
      <w:pPr>
        <w:pStyle w:val="BodyParagraph"/>
      </w:pPr>
      <w:r>
        <w:t>Table 5-</w:t>
      </w:r>
      <w:r w:rsidR="00492B69">
        <w:t xml:space="preserve">14 </w:t>
      </w:r>
      <w:r>
        <w:t>summarizes aggregate 2018 ex ante impacts for each LCA by month for small C&amp;I CPP customers</w:t>
      </w:r>
      <w:proofErr w:type="gramStart"/>
      <w:r>
        <w:t xml:space="preserve">.  </w:t>
      </w:r>
      <w:proofErr w:type="gramEnd"/>
      <w:r>
        <w:t>It shows the per customer impacts for each monthly system peak day under PG&amp;E 1-in-2 and 1</w:t>
      </w:r>
      <w:r>
        <w:noBreakHyphen/>
        <w:t>in-10 system peaking conditions</w:t>
      </w:r>
      <w:proofErr w:type="gramStart"/>
      <w:r w:rsidRPr="00225A57">
        <w:t>.</w:t>
      </w:r>
      <w:r>
        <w:t xml:space="preserve">  </w:t>
      </w:r>
      <w:proofErr w:type="gramEnd"/>
      <w:r>
        <w:t>As a result of the CPP event window ending at 6 PM, impacts are t</w:t>
      </w:r>
      <w:r w:rsidR="00DA70E9">
        <w:t>ypically between 3 and 4</w:t>
      </w:r>
      <w:r>
        <w:t xml:space="preserve"> times larger in the summer months compared with winter months</w:t>
      </w:r>
      <w:proofErr w:type="gramStart"/>
      <w:r>
        <w:t xml:space="preserve">.  </w:t>
      </w:r>
      <w:proofErr w:type="gramEnd"/>
      <w:r>
        <w:t>Although there is no real empirical data on how customers will respond in winter months, the load impacts in these month</w:t>
      </w:r>
      <w:r w:rsidR="00DA70E9">
        <w:t>s reflect the 2% impact from 2</w:t>
      </w:r>
      <w:r>
        <w:t xml:space="preserve"> to 6 PM that was assumed</w:t>
      </w:r>
      <w:proofErr w:type="gramStart"/>
      <w:r>
        <w:t xml:space="preserve">.  </w:t>
      </w:r>
      <w:proofErr w:type="gramEnd"/>
      <w:r>
        <w:t>Differences in impacts over months occur as a result of differe</w:t>
      </w:r>
      <w:r w:rsidR="00762318">
        <w:t>nces in reference load as well.</w:t>
      </w:r>
    </w:p>
    <w:p w:rsidR="0099298D" w:rsidRDefault="0099298D" w:rsidP="0099298D">
      <w:pPr>
        <w:pStyle w:val="BodyParagraph"/>
      </w:pPr>
      <w:r>
        <w:t>The variation in impact by LCA reflects the weather, size of customers and the industry mix in each of PG&amp;E’s LCAs, which in turn affect reference load</w:t>
      </w:r>
      <w:proofErr w:type="gramStart"/>
      <w:r>
        <w:t>.</w:t>
      </w:r>
      <w:r w:rsidRPr="00225A57">
        <w:t xml:space="preserve">  </w:t>
      </w:r>
      <w:proofErr w:type="gramEnd"/>
      <w:r>
        <w:t xml:space="preserve">Impacts for 2018, when default CPP </w:t>
      </w:r>
      <w:r w:rsidR="00492B69">
        <w:t>is</w:t>
      </w:r>
      <w:r>
        <w:t xml:space="preserve"> fully implemented across PG&amp;E’s territory, are shown in </w:t>
      </w:r>
      <w:r w:rsidR="00492B69">
        <w:t>T</w:t>
      </w:r>
      <w:r>
        <w:t>able</w:t>
      </w:r>
      <w:r w:rsidR="00492B69">
        <w:t xml:space="preserve"> 5-14</w:t>
      </w:r>
      <w:proofErr w:type="gramStart"/>
      <w:r>
        <w:t xml:space="preserve">.  </w:t>
      </w:r>
      <w:proofErr w:type="gramEnd"/>
      <w:r>
        <w:t>Like the large C&amp;I ex ante load impacts by LCA, most of the load impacts will come from the Greater Bay Area and Other LCAs</w:t>
      </w:r>
      <w:proofErr w:type="gramStart"/>
      <w:r>
        <w:t xml:space="preserve">.  </w:t>
      </w:r>
      <w:proofErr w:type="gramEnd"/>
      <w:r>
        <w:t xml:space="preserve">The </w:t>
      </w:r>
      <w:r w:rsidR="00762318">
        <w:t>Greater Bay Area accounts for 39</w:t>
      </w:r>
      <w:r>
        <w:t xml:space="preserve">% of the forecasted 2018 medium </w:t>
      </w:r>
      <w:proofErr w:type="gramStart"/>
      <w:r>
        <w:t>C&amp;I</w:t>
      </w:r>
      <w:proofErr w:type="gramEnd"/>
      <w:r>
        <w:t xml:space="preserve"> enrollment whi</w:t>
      </w:r>
      <w:r w:rsidR="00762318">
        <w:t>le the Other LCA accounts for 18</w:t>
      </w:r>
      <w:r>
        <w:t>%.</w:t>
      </w:r>
    </w:p>
    <w:p w:rsidR="0099298D" w:rsidRPr="00DA0B27" w:rsidRDefault="0099298D" w:rsidP="0099298D">
      <w:pPr>
        <w:pStyle w:val="TableFigureCaption"/>
        <w:spacing w:after="0"/>
      </w:pPr>
      <w:r>
        <w:lastRenderedPageBreak/>
        <w:t>Table 5-</w:t>
      </w:r>
      <w:r w:rsidR="00492B69">
        <w:t>14</w:t>
      </w:r>
      <w:r w:rsidRPr="00DA0B27">
        <w:t>:</w:t>
      </w:r>
      <w:r>
        <w:t xml:space="preserve"> </w:t>
      </w:r>
      <w:r w:rsidRPr="00DA0B27">
        <w:t xml:space="preserve">Aggregate </w:t>
      </w:r>
      <w:r>
        <w:t>PG&amp;E</w:t>
      </w:r>
      <w:r w:rsidRPr="00DA0B27">
        <w:t xml:space="preserve"> Ex Ante Load Impact Estimates by LCA</w:t>
      </w:r>
    </w:p>
    <w:p w:rsidR="0099298D" w:rsidRDefault="004C60D5" w:rsidP="0099298D">
      <w:pPr>
        <w:pStyle w:val="TableFigureCaption"/>
      </w:pPr>
      <w:r>
        <w:t>Small</w:t>
      </w:r>
      <w:r w:rsidR="0099298D">
        <w:t xml:space="preserve"> C&amp;I </w:t>
      </w:r>
      <w:r w:rsidR="0099298D" w:rsidRPr="00DA0B27">
        <w:t>201</w:t>
      </w:r>
      <w:r>
        <w:t>8</w:t>
      </w:r>
      <w:r w:rsidR="0099298D" w:rsidRPr="00DA0B27">
        <w:t xml:space="preserve"> Monthly System Peak Days</w:t>
      </w:r>
      <w:r w:rsidR="00750605">
        <w:t xml:space="preserve"> (1</w:t>
      </w:r>
      <w:r w:rsidR="00492B69">
        <w:t xml:space="preserve"> to </w:t>
      </w:r>
      <w:r w:rsidR="0099298D">
        <w:t>6 PM), PG&amp;E Weather Scenarios</w:t>
      </w:r>
      <w:r w:rsidR="0099298D">
        <w:rPr>
          <w:rStyle w:val="FootnoteReference"/>
        </w:rPr>
        <w:footnoteReference w:id="23"/>
      </w:r>
      <w:r w:rsidR="0099298D" w:rsidRPr="00DA0B27">
        <w:t xml:space="preserve"> </w:t>
      </w:r>
    </w:p>
    <w:tbl>
      <w:tblPr>
        <w:tblW w:w="9689" w:type="dxa"/>
        <w:jc w:val="center"/>
        <w:tblInd w:w="-117" w:type="dxa"/>
        <w:tblLook w:val="04A0" w:firstRow="1" w:lastRow="0" w:firstColumn="1" w:lastColumn="0" w:noHBand="0" w:noVBand="1"/>
      </w:tblPr>
      <w:tblGrid>
        <w:gridCol w:w="975"/>
        <w:gridCol w:w="1682"/>
        <w:gridCol w:w="577"/>
        <w:gridCol w:w="587"/>
        <w:gridCol w:w="587"/>
        <w:gridCol w:w="576"/>
        <w:gridCol w:w="567"/>
        <w:gridCol w:w="587"/>
        <w:gridCol w:w="567"/>
        <w:gridCol w:w="616"/>
        <w:gridCol w:w="597"/>
        <w:gridCol w:w="567"/>
        <w:gridCol w:w="607"/>
        <w:gridCol w:w="597"/>
      </w:tblGrid>
      <w:tr w:rsidR="00B52A87" w:rsidRPr="00B52A87" w:rsidTr="00750605">
        <w:trPr>
          <w:trHeight w:val="240"/>
          <w:jc w:val="center"/>
        </w:trPr>
        <w:tc>
          <w:tcPr>
            <w:tcW w:w="975"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Weather Year</w:t>
            </w:r>
          </w:p>
        </w:tc>
        <w:tc>
          <w:tcPr>
            <w:tcW w:w="1682"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Local Capacity Area</w:t>
            </w:r>
          </w:p>
        </w:tc>
        <w:tc>
          <w:tcPr>
            <w:tcW w:w="57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Jan.</w:t>
            </w:r>
          </w:p>
        </w:tc>
        <w:tc>
          <w:tcPr>
            <w:tcW w:w="58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Feb.</w:t>
            </w:r>
          </w:p>
        </w:tc>
        <w:tc>
          <w:tcPr>
            <w:tcW w:w="58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Mar.</w:t>
            </w:r>
          </w:p>
        </w:tc>
        <w:tc>
          <w:tcPr>
            <w:tcW w:w="576"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Apr.</w:t>
            </w:r>
          </w:p>
        </w:tc>
        <w:tc>
          <w:tcPr>
            <w:tcW w:w="56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May</w:t>
            </w:r>
          </w:p>
        </w:tc>
        <w:tc>
          <w:tcPr>
            <w:tcW w:w="58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Jun.</w:t>
            </w:r>
          </w:p>
        </w:tc>
        <w:tc>
          <w:tcPr>
            <w:tcW w:w="56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Jul.</w:t>
            </w:r>
          </w:p>
        </w:tc>
        <w:tc>
          <w:tcPr>
            <w:tcW w:w="616"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Aug.</w:t>
            </w:r>
          </w:p>
        </w:tc>
        <w:tc>
          <w:tcPr>
            <w:tcW w:w="59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Sep.</w:t>
            </w:r>
          </w:p>
        </w:tc>
        <w:tc>
          <w:tcPr>
            <w:tcW w:w="56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Oct.</w:t>
            </w:r>
          </w:p>
        </w:tc>
        <w:tc>
          <w:tcPr>
            <w:tcW w:w="607" w:type="dxa"/>
            <w:tcBorders>
              <w:top w:val="single" w:sz="4" w:space="0" w:color="auto"/>
              <w:left w:val="nil"/>
              <w:bottom w:val="single" w:sz="4" w:space="0" w:color="FFFFFF"/>
              <w:right w:val="single" w:sz="4" w:space="0" w:color="FFFFFF"/>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Nov.</w:t>
            </w:r>
          </w:p>
        </w:tc>
        <w:tc>
          <w:tcPr>
            <w:tcW w:w="597" w:type="dxa"/>
            <w:tcBorders>
              <w:top w:val="single" w:sz="4" w:space="0" w:color="auto"/>
              <w:left w:val="nil"/>
              <w:bottom w:val="single" w:sz="4" w:space="0" w:color="FFFFFF"/>
              <w:right w:val="single" w:sz="4" w:space="0" w:color="auto"/>
            </w:tcBorders>
            <w:shd w:val="clear" w:color="000000" w:fill="0070D0"/>
            <w:vAlign w:val="center"/>
            <w:hideMark/>
          </w:tcPr>
          <w:p w:rsidR="00B52A87" w:rsidRPr="00B52A87" w:rsidRDefault="00B52A87" w:rsidP="00750605">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Dec.</w:t>
            </w:r>
          </w:p>
        </w:tc>
      </w:tr>
      <w:tr w:rsidR="00B52A87" w:rsidRPr="00B52A87" w:rsidTr="00750605">
        <w:trPr>
          <w:trHeight w:val="495"/>
          <w:jc w:val="center"/>
        </w:trPr>
        <w:tc>
          <w:tcPr>
            <w:tcW w:w="975" w:type="dxa"/>
            <w:vMerge/>
            <w:tcBorders>
              <w:top w:val="single" w:sz="4" w:space="0" w:color="auto"/>
              <w:left w:val="single" w:sz="4" w:space="0" w:color="auto"/>
              <w:bottom w:val="single" w:sz="4" w:space="0" w:color="000000"/>
              <w:right w:val="single" w:sz="4" w:space="0" w:color="FFFFFF"/>
            </w:tcBorders>
            <w:vAlign w:val="center"/>
            <w:hideMark/>
          </w:tcPr>
          <w:p w:rsidR="00B52A87" w:rsidRPr="00B52A87" w:rsidRDefault="00B52A87" w:rsidP="00750605">
            <w:pPr>
              <w:spacing w:before="60" w:after="60" w:line="240" w:lineRule="auto"/>
              <w:rPr>
                <w:rFonts w:ascii="Arial" w:eastAsia="Times New Roman" w:hAnsi="Arial" w:cs="Arial"/>
                <w:b/>
                <w:bCs/>
                <w:color w:val="FFFFFF"/>
                <w:sz w:val="18"/>
                <w:szCs w:val="18"/>
              </w:rPr>
            </w:pPr>
          </w:p>
        </w:tc>
        <w:tc>
          <w:tcPr>
            <w:tcW w:w="1682" w:type="dxa"/>
            <w:vMerge/>
            <w:tcBorders>
              <w:top w:val="single" w:sz="4" w:space="0" w:color="auto"/>
              <w:left w:val="single" w:sz="4" w:space="0" w:color="FFFFFF"/>
              <w:bottom w:val="single" w:sz="4" w:space="0" w:color="000000"/>
              <w:right w:val="single" w:sz="4" w:space="0" w:color="FFFFFF"/>
            </w:tcBorders>
            <w:vAlign w:val="center"/>
            <w:hideMark/>
          </w:tcPr>
          <w:p w:rsidR="00B52A87" w:rsidRPr="00B52A87" w:rsidRDefault="00B52A87" w:rsidP="00750605">
            <w:pPr>
              <w:spacing w:before="60" w:after="60" w:line="240" w:lineRule="auto"/>
              <w:rPr>
                <w:rFonts w:ascii="Arial" w:eastAsia="Times New Roman" w:hAnsi="Arial" w:cs="Arial"/>
                <w:b/>
                <w:bCs/>
                <w:color w:val="FFFFFF"/>
                <w:sz w:val="18"/>
                <w:szCs w:val="18"/>
              </w:rPr>
            </w:pPr>
          </w:p>
        </w:tc>
        <w:tc>
          <w:tcPr>
            <w:tcW w:w="2327" w:type="dxa"/>
            <w:gridSpan w:val="4"/>
            <w:tcBorders>
              <w:top w:val="single" w:sz="4" w:space="0" w:color="FFFFFF"/>
              <w:left w:val="nil"/>
              <w:bottom w:val="single" w:sz="4" w:space="0" w:color="auto"/>
              <w:right w:val="single" w:sz="4" w:space="0" w:color="FFFFFF"/>
            </w:tcBorders>
            <w:shd w:val="clear" w:color="000000" w:fill="0070D0"/>
            <w:vAlign w:val="center"/>
            <w:hideMark/>
          </w:tcPr>
          <w:p w:rsidR="00B52A87" w:rsidRPr="00B52A87" w:rsidRDefault="00744453" w:rsidP="00744453">
            <w:pPr>
              <w:spacing w:before="60" w:after="6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4 to </w:t>
            </w:r>
            <w:r w:rsidR="00B52A87" w:rsidRPr="00B52A87">
              <w:rPr>
                <w:rFonts w:ascii="Arial" w:eastAsia="Times New Roman" w:hAnsi="Arial" w:cs="Arial"/>
                <w:b/>
                <w:bCs/>
                <w:color w:val="FFFFFF"/>
                <w:sz w:val="18"/>
                <w:szCs w:val="18"/>
              </w:rPr>
              <w:t xml:space="preserve">9 </w:t>
            </w:r>
            <w:r>
              <w:rPr>
                <w:rFonts w:ascii="Arial" w:eastAsia="Times New Roman" w:hAnsi="Arial" w:cs="Arial"/>
                <w:b/>
                <w:bCs/>
                <w:color w:val="FFFFFF"/>
                <w:sz w:val="18"/>
                <w:szCs w:val="18"/>
              </w:rPr>
              <w:t>PM</w:t>
            </w:r>
            <w:r w:rsidR="00B52A87" w:rsidRPr="00B52A87">
              <w:rPr>
                <w:rFonts w:ascii="Arial" w:eastAsia="Times New Roman" w:hAnsi="Arial" w:cs="Arial"/>
                <w:b/>
                <w:bCs/>
                <w:color w:val="FFFFFF"/>
                <w:sz w:val="18"/>
                <w:szCs w:val="18"/>
              </w:rPr>
              <w:t xml:space="preserve"> Resource Adequacy Window</w:t>
            </w:r>
          </w:p>
        </w:tc>
        <w:tc>
          <w:tcPr>
            <w:tcW w:w="3501" w:type="dxa"/>
            <w:gridSpan w:val="6"/>
            <w:tcBorders>
              <w:top w:val="single" w:sz="4" w:space="0" w:color="FFFFFF"/>
              <w:left w:val="nil"/>
              <w:bottom w:val="single" w:sz="4" w:space="0" w:color="auto"/>
              <w:right w:val="single" w:sz="4" w:space="0" w:color="FFFFFF"/>
            </w:tcBorders>
            <w:shd w:val="clear" w:color="000000" w:fill="0070D0"/>
            <w:vAlign w:val="center"/>
            <w:hideMark/>
          </w:tcPr>
          <w:p w:rsidR="00B52A87" w:rsidRPr="00B52A87" w:rsidRDefault="00B52A87" w:rsidP="00744453">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1</w:t>
            </w:r>
            <w:r w:rsidR="00744453">
              <w:rPr>
                <w:rFonts w:ascii="Arial" w:eastAsia="Times New Roman" w:hAnsi="Arial" w:cs="Arial"/>
                <w:b/>
                <w:bCs/>
                <w:color w:val="FFFFFF"/>
                <w:sz w:val="18"/>
                <w:szCs w:val="18"/>
              </w:rPr>
              <w:t xml:space="preserve"> to </w:t>
            </w:r>
            <w:r w:rsidRPr="00B52A87">
              <w:rPr>
                <w:rFonts w:ascii="Arial" w:eastAsia="Times New Roman" w:hAnsi="Arial" w:cs="Arial"/>
                <w:b/>
                <w:bCs/>
                <w:color w:val="FFFFFF"/>
                <w:sz w:val="18"/>
                <w:szCs w:val="18"/>
              </w:rPr>
              <w:t xml:space="preserve">6 </w:t>
            </w:r>
            <w:r w:rsidR="00744453">
              <w:rPr>
                <w:rFonts w:ascii="Arial" w:eastAsia="Times New Roman" w:hAnsi="Arial" w:cs="Arial"/>
                <w:b/>
                <w:bCs/>
                <w:color w:val="FFFFFF"/>
                <w:sz w:val="18"/>
                <w:szCs w:val="18"/>
              </w:rPr>
              <w:t>PM</w:t>
            </w:r>
            <w:r w:rsidRPr="00B52A87">
              <w:rPr>
                <w:rFonts w:ascii="Arial" w:eastAsia="Times New Roman" w:hAnsi="Arial" w:cs="Arial"/>
                <w:b/>
                <w:bCs/>
                <w:color w:val="FFFFFF"/>
                <w:sz w:val="18"/>
                <w:szCs w:val="18"/>
              </w:rPr>
              <w:t xml:space="preserve"> Resource Adequacy Window</w:t>
            </w:r>
          </w:p>
        </w:tc>
        <w:tc>
          <w:tcPr>
            <w:tcW w:w="1204" w:type="dxa"/>
            <w:gridSpan w:val="2"/>
            <w:tcBorders>
              <w:top w:val="single" w:sz="4" w:space="0" w:color="FFFFFF"/>
              <w:left w:val="nil"/>
              <w:bottom w:val="single" w:sz="4" w:space="0" w:color="auto"/>
              <w:right w:val="single" w:sz="4" w:space="0" w:color="000000"/>
            </w:tcBorders>
            <w:shd w:val="clear" w:color="000000" w:fill="0070D0"/>
            <w:vAlign w:val="center"/>
            <w:hideMark/>
          </w:tcPr>
          <w:p w:rsidR="00B52A87" w:rsidRPr="00B52A87" w:rsidRDefault="00B52A87" w:rsidP="00744453">
            <w:pPr>
              <w:spacing w:before="60" w:after="60" w:line="240" w:lineRule="auto"/>
              <w:jc w:val="center"/>
              <w:rPr>
                <w:rFonts w:ascii="Arial" w:eastAsia="Times New Roman" w:hAnsi="Arial" w:cs="Arial"/>
                <w:b/>
                <w:bCs/>
                <w:color w:val="FFFFFF"/>
                <w:sz w:val="18"/>
                <w:szCs w:val="18"/>
              </w:rPr>
            </w:pPr>
            <w:r w:rsidRPr="00B52A87">
              <w:rPr>
                <w:rFonts w:ascii="Arial" w:eastAsia="Times New Roman" w:hAnsi="Arial" w:cs="Arial"/>
                <w:b/>
                <w:bCs/>
                <w:color w:val="FFFFFF"/>
                <w:sz w:val="18"/>
                <w:szCs w:val="18"/>
              </w:rPr>
              <w:t>4</w:t>
            </w:r>
            <w:r w:rsidR="00744453">
              <w:rPr>
                <w:rFonts w:ascii="Arial" w:eastAsia="Times New Roman" w:hAnsi="Arial" w:cs="Arial"/>
                <w:b/>
                <w:bCs/>
                <w:color w:val="FFFFFF"/>
                <w:sz w:val="18"/>
                <w:szCs w:val="18"/>
              </w:rPr>
              <w:t xml:space="preserve"> to </w:t>
            </w:r>
            <w:r w:rsidRPr="00B52A87">
              <w:rPr>
                <w:rFonts w:ascii="Arial" w:eastAsia="Times New Roman" w:hAnsi="Arial" w:cs="Arial"/>
                <w:b/>
                <w:bCs/>
                <w:color w:val="FFFFFF"/>
                <w:sz w:val="18"/>
                <w:szCs w:val="18"/>
              </w:rPr>
              <w:t xml:space="preserve">9 </w:t>
            </w:r>
            <w:r w:rsidR="00744453">
              <w:rPr>
                <w:rFonts w:ascii="Arial" w:eastAsia="Times New Roman" w:hAnsi="Arial" w:cs="Arial"/>
                <w:b/>
                <w:bCs/>
                <w:color w:val="FFFFFF"/>
                <w:sz w:val="18"/>
                <w:szCs w:val="18"/>
              </w:rPr>
              <w:t>PM</w:t>
            </w:r>
          </w:p>
        </w:tc>
      </w:tr>
      <w:tr w:rsidR="00B52A87" w:rsidRPr="00B52A87" w:rsidTr="00750605">
        <w:trPr>
          <w:trHeight w:val="240"/>
          <w:jc w:val="center"/>
        </w:trPr>
        <w:tc>
          <w:tcPr>
            <w:tcW w:w="975" w:type="dxa"/>
            <w:vMerge w:val="restart"/>
            <w:tcBorders>
              <w:top w:val="nil"/>
              <w:left w:val="single" w:sz="4" w:space="0" w:color="000000"/>
              <w:bottom w:val="single" w:sz="4" w:space="0" w:color="000000"/>
              <w:right w:val="single" w:sz="4" w:space="0" w:color="000000"/>
            </w:tcBorders>
            <w:shd w:val="clear" w:color="auto" w:fill="auto"/>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1-in-10</w:t>
            </w: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All</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3.3</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4.7</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12.0</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13.0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13.0</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12.5</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11.8</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10.3</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3.5</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3.8</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Greater Bay Area</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2.0</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1.7</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2.4</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6.5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6.0</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5.8</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5.8</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5.2</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1.8</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1.9</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Greater Fresno</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0.3</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1.2</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0.9</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Humboldt</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Kern</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Northern Coast</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Other</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2.8</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2.9</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2.8</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2.2</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Sierra</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Stockton</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val="restart"/>
            <w:tcBorders>
              <w:top w:val="nil"/>
              <w:left w:val="single" w:sz="4" w:space="0" w:color="000000"/>
              <w:bottom w:val="single" w:sz="4" w:space="0" w:color="000000"/>
              <w:right w:val="single" w:sz="4" w:space="0" w:color="000000"/>
            </w:tcBorders>
            <w:shd w:val="clear" w:color="auto" w:fill="auto"/>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1-in-2</w:t>
            </w: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All</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3.7</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3.3</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4.0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9.4</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11.5</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11.5</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11.1</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8.8</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3.4</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3.6</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Greater Bay Area</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1.8</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1.7</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4.4</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5.2</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5.3</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5.2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4.4</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1.8</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1.8</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Greater Fresno</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0.3</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0.3</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0.9</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1.1</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1.0</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1.0</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Humboldt</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Kern</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Northern Coast</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Other</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2.6</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2.5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1.9</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0.8</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Sierra</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0.7</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r w:rsidR="00B52A87" w:rsidRPr="00B52A87" w:rsidTr="00750605">
        <w:trPr>
          <w:trHeight w:val="240"/>
          <w:jc w:val="center"/>
        </w:trPr>
        <w:tc>
          <w:tcPr>
            <w:tcW w:w="975" w:type="dxa"/>
            <w:vMerge/>
            <w:tcBorders>
              <w:top w:val="nil"/>
              <w:left w:val="single" w:sz="4" w:space="0" w:color="000000"/>
              <w:bottom w:val="single" w:sz="4" w:space="0" w:color="000000"/>
              <w:right w:val="single" w:sz="4" w:space="0" w:color="000000"/>
            </w:tcBorders>
            <w:vAlign w:val="center"/>
            <w:hideMark/>
          </w:tcPr>
          <w:p w:rsidR="00B52A87" w:rsidRPr="00B52A87" w:rsidRDefault="00B52A87" w:rsidP="00750605">
            <w:pPr>
              <w:spacing w:before="60" w:after="60" w:line="240" w:lineRule="auto"/>
              <w:rPr>
                <w:rFonts w:ascii="Arial" w:eastAsia="Times New Roman" w:hAnsi="Arial" w:cs="Arial"/>
                <w:color w:val="000000"/>
                <w:sz w:val="18"/>
                <w:szCs w:val="18"/>
              </w:rPr>
            </w:pPr>
          </w:p>
        </w:tc>
        <w:tc>
          <w:tcPr>
            <w:tcW w:w="1682"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Stockton</w:t>
            </w:r>
          </w:p>
        </w:tc>
        <w:tc>
          <w:tcPr>
            <w:tcW w:w="57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7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58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616"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0.6</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0.5</w:t>
            </w:r>
          </w:p>
        </w:tc>
        <w:tc>
          <w:tcPr>
            <w:tcW w:w="56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0.4</w:t>
            </w:r>
          </w:p>
        </w:tc>
        <w:tc>
          <w:tcPr>
            <w:tcW w:w="60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0.1</w:t>
            </w:r>
          </w:p>
        </w:tc>
        <w:tc>
          <w:tcPr>
            <w:tcW w:w="597" w:type="dxa"/>
            <w:tcBorders>
              <w:top w:val="nil"/>
              <w:left w:val="nil"/>
              <w:bottom w:val="single" w:sz="4" w:space="0" w:color="000000"/>
              <w:right w:val="single" w:sz="4" w:space="0" w:color="000000"/>
            </w:tcBorders>
            <w:shd w:val="clear" w:color="auto" w:fill="auto"/>
            <w:noWrap/>
            <w:vAlign w:val="center"/>
            <w:hideMark/>
          </w:tcPr>
          <w:p w:rsidR="00B52A87" w:rsidRPr="00B52A87" w:rsidRDefault="00B52A87" w:rsidP="00750605">
            <w:pPr>
              <w:spacing w:before="60" w:after="60" w:line="240" w:lineRule="auto"/>
              <w:jc w:val="center"/>
              <w:rPr>
                <w:rFonts w:ascii="Arial" w:eastAsia="Times New Roman" w:hAnsi="Arial" w:cs="Arial"/>
                <w:color w:val="000000"/>
                <w:sz w:val="18"/>
                <w:szCs w:val="18"/>
              </w:rPr>
            </w:pPr>
            <w:r w:rsidRPr="00B52A87">
              <w:rPr>
                <w:rFonts w:ascii="Arial" w:eastAsia="Times New Roman" w:hAnsi="Arial" w:cs="Arial"/>
                <w:color w:val="000000"/>
                <w:sz w:val="18"/>
                <w:szCs w:val="18"/>
              </w:rPr>
              <w:t>0.2</w:t>
            </w:r>
          </w:p>
        </w:tc>
      </w:tr>
    </w:tbl>
    <w:p w:rsidR="00D62FC0" w:rsidRDefault="00D62FC0" w:rsidP="006A7080">
      <w:pPr>
        <w:pStyle w:val="BodyParagraph"/>
      </w:pPr>
      <w:r>
        <w:br w:type="page"/>
      </w:r>
    </w:p>
    <w:p w:rsidR="009A283D" w:rsidRDefault="009A283D" w:rsidP="009A283D">
      <w:pPr>
        <w:pStyle w:val="Heading1"/>
      </w:pPr>
      <w:bookmarkStart w:id="177" w:name="_Toc412650609"/>
      <w:bookmarkStart w:id="178" w:name="_Toc415494782"/>
      <w:bookmarkStart w:id="179" w:name="_Toc352323668"/>
      <w:bookmarkStart w:id="180" w:name="_Toc412650637"/>
      <w:bookmarkEnd w:id="94"/>
      <w:r>
        <w:lastRenderedPageBreak/>
        <w:t>SCE Ex Post Load Impacts</w:t>
      </w:r>
      <w:bookmarkEnd w:id="177"/>
      <w:bookmarkEnd w:id="178"/>
    </w:p>
    <w:p w:rsidR="009A283D" w:rsidRDefault="009A283D" w:rsidP="009A283D">
      <w:pPr>
        <w:pStyle w:val="BodyParagraph"/>
      </w:pPr>
      <w:r>
        <w:t>SCE called 12 CPP events in 2014, with the first occurring on July 8 and the last on September 23</w:t>
      </w:r>
      <w:proofErr w:type="gramStart"/>
      <w:r>
        <w:t xml:space="preserve">.  </w:t>
      </w:r>
      <w:proofErr w:type="gramEnd"/>
      <w:r>
        <w:t>The average number of default CPP customers participating in the 12 SCE CPP events through September was 2,670</w:t>
      </w:r>
      <w:proofErr w:type="gramStart"/>
      <w:r>
        <w:t xml:space="preserve">.  </w:t>
      </w:r>
      <w:proofErr w:type="gramEnd"/>
      <w:r w:rsidRPr="00BD7C8E">
        <w:t>There is</w:t>
      </w:r>
      <w:r>
        <w:t xml:space="preserve"> some slight</w:t>
      </w:r>
      <w:r w:rsidRPr="00BD7C8E">
        <w:t xml:space="preserve"> variation in the number of </w:t>
      </w:r>
      <w:r>
        <w:t>default</w:t>
      </w:r>
      <w:r w:rsidRPr="00BD7C8E">
        <w:t xml:space="preserve"> customers</w:t>
      </w:r>
      <w:r>
        <w:t xml:space="preserve"> participating in each event</w:t>
      </w:r>
      <w:r w:rsidRPr="00BD7C8E">
        <w:t xml:space="preserve"> due to customer churn; some customers departed and others en</w:t>
      </w:r>
      <w:r>
        <w:t>rolled in CPP during summer 2014</w:t>
      </w:r>
      <w:proofErr w:type="gramStart"/>
      <w:r>
        <w:t xml:space="preserve">.  </w:t>
      </w:r>
      <w:proofErr w:type="gramEnd"/>
      <w:r>
        <w:t>The highest 2014 enrollment, 2,684</w:t>
      </w:r>
      <w:r w:rsidRPr="00BD7C8E">
        <w:t xml:space="preserve"> customers, occurred on the September </w:t>
      </w:r>
      <w:r>
        <w:t>23</w:t>
      </w:r>
      <w:r w:rsidRPr="00BD7C8E">
        <w:t xml:space="preserve"> event</w:t>
      </w:r>
      <w:proofErr w:type="gramStart"/>
      <w:r w:rsidRPr="00BD7C8E">
        <w:t xml:space="preserve">.  </w:t>
      </w:r>
      <w:proofErr w:type="gramEnd"/>
      <w:r w:rsidRPr="00BD7C8E">
        <w:t xml:space="preserve">The lowest enrollment, </w:t>
      </w:r>
      <w:r>
        <w:t>2,658</w:t>
      </w:r>
      <w:r w:rsidRPr="00BD7C8E">
        <w:t xml:space="preserve"> </w:t>
      </w:r>
      <w:r>
        <w:t>customers, occurred on the August 28</w:t>
      </w:r>
      <w:r w:rsidRPr="00BD7C8E">
        <w:t xml:space="preserve"> event.</w:t>
      </w:r>
    </w:p>
    <w:p w:rsidR="009A283D" w:rsidRDefault="009A283D" w:rsidP="009A283D">
      <w:pPr>
        <w:pStyle w:val="BodyParagraph"/>
      </w:pPr>
      <w:r>
        <w:t>The load impacts described in this report pertain exclusively to customers subject to the CPP rate on a default basis, including customers enrolled in the legacy voluntary CPP program prior to the default CPP going into effect in 2010 or who were defaulted to CPP at one point in time and remained on CPP even though their load dropped below 200 kW</w:t>
      </w:r>
      <w:proofErr w:type="gramStart"/>
      <w:r>
        <w:t xml:space="preserve">.  </w:t>
      </w:r>
      <w:proofErr w:type="gramEnd"/>
      <w:r>
        <w:t>This group of customers taking CPP in 2014 is referred to as the default CPP population.</w:t>
      </w:r>
    </w:p>
    <w:p w:rsidR="009A283D" w:rsidRDefault="009A283D" w:rsidP="009A283D">
      <w:pPr>
        <w:pStyle w:val="BodyParagraph"/>
      </w:pPr>
      <w:r>
        <w:t>There is also another group of customers who were on the CPP rate in 2014: small and medium</w:t>
      </w:r>
      <w:r w:rsidR="002D073D">
        <w:t> </w:t>
      </w:r>
      <w:r>
        <w:t>business (SMB) customers enrolled on CPP on a purely voluntary basis</w:t>
      </w:r>
      <w:proofErr w:type="gramStart"/>
      <w:r>
        <w:t xml:space="preserve">.  </w:t>
      </w:r>
      <w:proofErr w:type="gramEnd"/>
      <w:r>
        <w:t>This group of customers is referred to as opt-in CPP customers, keeping in mind the distinction between these customers and the large C&amp;I customers who took the legacy voluntary CPP rate prior to</w:t>
      </w:r>
      <w:r w:rsidR="002D073D">
        <w:t> </w:t>
      </w:r>
      <w:r>
        <w:t>2009 and who are included in the default CPP population</w:t>
      </w:r>
      <w:proofErr w:type="gramStart"/>
      <w:r>
        <w:t xml:space="preserve">.  </w:t>
      </w:r>
      <w:proofErr w:type="gramEnd"/>
      <w:r>
        <w:t>There were 659 opt-in CPP customers at SCE in 2013</w:t>
      </w:r>
      <w:proofErr w:type="gramStart"/>
      <w:r>
        <w:t xml:space="preserve">.  </w:t>
      </w:r>
      <w:proofErr w:type="gramEnd"/>
      <w:r>
        <w:t>In 2014, there were 797 and the majority of these service accounts are associated with a single business entity</w:t>
      </w:r>
      <w:proofErr w:type="gramStart"/>
      <w:r>
        <w:t xml:space="preserve">.  </w:t>
      </w:r>
      <w:proofErr w:type="gramEnd"/>
      <w:r>
        <w:t>These opt-in CPP participants are not included in the ex post load impact reporting presented in this report because the few SCE customers who take CPP on an opt-in basis are not representative of the SMB population that may be subject to CPP on a default basis in coming years</w:t>
      </w:r>
      <w:proofErr w:type="gramStart"/>
      <w:r>
        <w:t xml:space="preserve">.  </w:t>
      </w:r>
      <w:proofErr w:type="gramEnd"/>
      <w:r>
        <w:t>Load impacts for these customers are presented in the SCE electronic ex post load impact table generator but it is important to remember that their load impacts do not reflect what would be expected from</w:t>
      </w:r>
      <w:r w:rsidR="002D073D">
        <w:t xml:space="preserve"> the</w:t>
      </w:r>
      <w:r>
        <w:t xml:space="preserve"> SMB customer class in the future under default CPP.</w:t>
      </w:r>
    </w:p>
    <w:p w:rsidR="009A283D" w:rsidRDefault="009A283D" w:rsidP="009A283D">
      <w:pPr>
        <w:pStyle w:val="BodyParagraph"/>
        <w:rPr>
          <w:rFonts w:eastAsia="Times New Roman" w:cs="Arial"/>
          <w:bCs/>
          <w:szCs w:val="20"/>
        </w:rPr>
      </w:pPr>
      <w:r>
        <w:t>Table 6-1 shows the ex post load impact estimates for each event day and for the average event day in 2014</w:t>
      </w:r>
      <w:proofErr w:type="gramStart"/>
      <w:r>
        <w:t xml:space="preserve">.  </w:t>
      </w:r>
      <w:proofErr w:type="gramEnd"/>
      <w:r>
        <w:t>The participant-weighted average temperature during the peak period on event days ranged from a low of 80.8</w:t>
      </w:r>
      <w:r w:rsidRPr="00983BD4">
        <w:rPr>
          <w:rFonts w:eastAsia="Times New Roman" w:cs="Arial"/>
          <w:bCs/>
          <w:szCs w:val="20"/>
        </w:rPr>
        <w:t>°F</w:t>
      </w:r>
      <w:r>
        <w:rPr>
          <w:rFonts w:eastAsia="Times New Roman" w:cs="Arial"/>
          <w:bCs/>
          <w:szCs w:val="20"/>
        </w:rPr>
        <w:t xml:space="preserve"> to a high of </w:t>
      </w:r>
      <w:r>
        <w:t>96.4</w:t>
      </w:r>
      <w:r w:rsidRPr="00983BD4">
        <w:rPr>
          <w:rFonts w:eastAsia="Times New Roman" w:cs="Arial"/>
          <w:bCs/>
          <w:szCs w:val="20"/>
        </w:rPr>
        <w:t>°F</w:t>
      </w:r>
      <w:proofErr w:type="gramStart"/>
      <w:r>
        <w:rPr>
          <w:rFonts w:eastAsia="Times New Roman" w:cs="Arial"/>
          <w:bCs/>
          <w:szCs w:val="20"/>
        </w:rPr>
        <w:t xml:space="preserve">.  </w:t>
      </w:r>
      <w:proofErr w:type="gramEnd"/>
      <w:r>
        <w:rPr>
          <w:rFonts w:eastAsia="Times New Roman" w:cs="Arial"/>
          <w:bCs/>
          <w:szCs w:val="20"/>
        </w:rPr>
        <w:t>Daily maximum temperatures were higher, ranging from a low of 86.7</w:t>
      </w:r>
      <w:r w:rsidRPr="00983BD4">
        <w:rPr>
          <w:rFonts w:eastAsia="Times New Roman" w:cs="Arial"/>
          <w:bCs/>
          <w:szCs w:val="20"/>
        </w:rPr>
        <w:t>°F</w:t>
      </w:r>
      <w:r>
        <w:rPr>
          <w:rFonts w:eastAsia="Times New Roman" w:cs="Arial"/>
          <w:bCs/>
          <w:szCs w:val="20"/>
        </w:rPr>
        <w:t xml:space="preserve"> to a high of 102.1</w:t>
      </w:r>
      <w:r w:rsidRPr="00983BD4">
        <w:rPr>
          <w:rFonts w:eastAsia="Times New Roman" w:cs="Arial"/>
          <w:bCs/>
          <w:szCs w:val="20"/>
        </w:rPr>
        <w:t>°F</w:t>
      </w:r>
      <w:r>
        <w:rPr>
          <w:rFonts w:eastAsia="Times New Roman" w:cs="Arial"/>
          <w:bCs/>
          <w:szCs w:val="20"/>
        </w:rPr>
        <w:t>.</w:t>
      </w:r>
      <w:r>
        <w:rPr>
          <w:rFonts w:eastAsia="Times New Roman" w:cs="Arial"/>
          <w:bCs/>
          <w:szCs w:val="20"/>
        </w:rPr>
        <w:br w:type="page"/>
      </w:r>
    </w:p>
    <w:p w:rsidR="009A283D" w:rsidRDefault="009A283D" w:rsidP="009A283D">
      <w:pPr>
        <w:pStyle w:val="TableFigureCaption"/>
      </w:pPr>
      <w:r>
        <w:lastRenderedPageBreak/>
        <w:t>Table 6-1: Default CPP Ex Post Load Impact Estimates by Event Day</w:t>
      </w:r>
      <w:r>
        <w:br/>
        <w:t>SCE 2014 CPP Events (2</w:t>
      </w:r>
      <w:r w:rsidR="002D073D">
        <w:t xml:space="preserve"> to </w:t>
      </w:r>
      <w:r>
        <w:t>6 PM)</w:t>
      </w:r>
    </w:p>
    <w:tbl>
      <w:tblPr>
        <w:tblW w:w="10711" w:type="dxa"/>
        <w:jc w:val="center"/>
        <w:tblInd w:w="-233" w:type="dxa"/>
        <w:tblLook w:val="04A0" w:firstRow="1" w:lastRow="0" w:firstColumn="1" w:lastColumn="0" w:noHBand="0" w:noVBand="1"/>
      </w:tblPr>
      <w:tblGrid>
        <w:gridCol w:w="1017"/>
        <w:gridCol w:w="715"/>
        <w:gridCol w:w="1037"/>
        <w:gridCol w:w="1507"/>
        <w:gridCol w:w="1265"/>
        <w:gridCol w:w="960"/>
        <w:gridCol w:w="1107"/>
        <w:gridCol w:w="1096"/>
        <w:gridCol w:w="960"/>
        <w:gridCol w:w="1047"/>
      </w:tblGrid>
      <w:tr w:rsidR="009A283D" w:rsidRPr="008A4A8D" w:rsidTr="00744453">
        <w:trPr>
          <w:trHeight w:val="960"/>
          <w:jc w:val="center"/>
        </w:trPr>
        <w:tc>
          <w:tcPr>
            <w:tcW w:w="1017"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Event Date</w:t>
            </w:r>
          </w:p>
        </w:tc>
        <w:tc>
          <w:tcPr>
            <w:tcW w:w="715"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Accounts</w:t>
            </w:r>
          </w:p>
        </w:tc>
        <w:tc>
          <w:tcPr>
            <w:tcW w:w="1507"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Avg. Customer Reference Load</w:t>
            </w:r>
          </w:p>
        </w:tc>
        <w:tc>
          <w:tcPr>
            <w:tcW w:w="1265"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Avg. Customer Load w/ DR</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Impact</w:t>
            </w:r>
          </w:p>
        </w:tc>
        <w:tc>
          <w:tcPr>
            <w:tcW w:w="1107"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Aggregate Impact</w:t>
            </w:r>
          </w:p>
        </w:tc>
        <w:tc>
          <w:tcPr>
            <w:tcW w:w="1096"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 Reduction</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Avg. Temp.</w:t>
            </w:r>
          </w:p>
        </w:tc>
        <w:tc>
          <w:tcPr>
            <w:tcW w:w="1047" w:type="dxa"/>
            <w:tcBorders>
              <w:top w:val="single" w:sz="4" w:space="0" w:color="auto"/>
              <w:left w:val="nil"/>
              <w:bottom w:val="single" w:sz="4" w:space="0" w:color="FFFFFF"/>
              <w:right w:val="single" w:sz="4" w:space="0" w:color="auto"/>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Daily Maximum Temp.</w:t>
            </w:r>
          </w:p>
        </w:tc>
      </w:tr>
      <w:tr w:rsidR="009A283D" w:rsidRPr="008A4A8D" w:rsidTr="00744453">
        <w:trPr>
          <w:trHeight w:val="240"/>
          <w:jc w:val="center"/>
        </w:trPr>
        <w:tc>
          <w:tcPr>
            <w:tcW w:w="1017"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c>
          <w:tcPr>
            <w:tcW w:w="715"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c>
          <w:tcPr>
            <w:tcW w:w="1507"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(kW)</w:t>
            </w:r>
          </w:p>
        </w:tc>
        <w:tc>
          <w:tcPr>
            <w:tcW w:w="1265"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(kW)</w:t>
            </w:r>
          </w:p>
        </w:tc>
        <w:tc>
          <w:tcPr>
            <w:tcW w:w="960"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(kW)</w:t>
            </w:r>
          </w:p>
        </w:tc>
        <w:tc>
          <w:tcPr>
            <w:tcW w:w="1107"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(MW)</w:t>
            </w:r>
          </w:p>
        </w:tc>
        <w:tc>
          <w:tcPr>
            <w:tcW w:w="1096"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w:t>
            </w:r>
          </w:p>
        </w:tc>
        <w:tc>
          <w:tcPr>
            <w:tcW w:w="960" w:type="dxa"/>
            <w:tcBorders>
              <w:top w:val="nil"/>
              <w:left w:val="nil"/>
              <w:bottom w:val="single" w:sz="4" w:space="0" w:color="auto"/>
              <w:right w:val="single" w:sz="4" w:space="0" w:color="FFFFFF"/>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(°F)</w:t>
            </w:r>
          </w:p>
        </w:tc>
        <w:tc>
          <w:tcPr>
            <w:tcW w:w="1047" w:type="dxa"/>
            <w:tcBorders>
              <w:top w:val="nil"/>
              <w:left w:val="nil"/>
              <w:bottom w:val="single" w:sz="4" w:space="0" w:color="auto"/>
              <w:right w:val="single" w:sz="4" w:space="0" w:color="auto"/>
            </w:tcBorders>
            <w:shd w:val="clear" w:color="auto" w:fill="0070CD"/>
            <w:noWrap/>
            <w:vAlign w:val="center"/>
            <w:hideMark/>
          </w:tcPr>
          <w:p w:rsidR="009A283D" w:rsidRPr="00D62FC0" w:rsidRDefault="009A283D" w:rsidP="006D677D">
            <w:pPr>
              <w:spacing w:after="0" w:line="240" w:lineRule="auto"/>
              <w:jc w:val="center"/>
              <w:rPr>
                <w:rFonts w:ascii="Arial" w:eastAsia="Times New Roman" w:hAnsi="Arial" w:cs="Arial"/>
                <w:b/>
                <w:color w:val="FFFFFF"/>
                <w:sz w:val="18"/>
                <w:szCs w:val="18"/>
              </w:rPr>
            </w:pPr>
            <w:r w:rsidRPr="00D62FC0">
              <w:rPr>
                <w:rFonts w:ascii="Arial" w:eastAsia="Times New Roman" w:hAnsi="Arial" w:cs="Arial"/>
                <w:b/>
                <w:color w:val="FFFFFF"/>
                <w:sz w:val="18"/>
                <w:szCs w:val="18"/>
              </w:rPr>
              <w:t>(°F)</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7/8/2014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2,672</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216.2</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203.2</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13.0</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34.7</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85.5</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95.6</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7/14/2014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2,663</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210.6</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198.9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11.7</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31.3</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80.8</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91.6</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7/30/2014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2,662</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222.3</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207.9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14.4</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38.4</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88.3</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95.2</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8/4/2014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2,660</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211.5</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198.0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13.5</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35.9</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83.0</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89.0</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8/22/2014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2,660</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209.0</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201.6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7.4</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19.6</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82.3</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89.5</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8/28/2014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Thu.</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2,658</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228.4</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218.4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10.0</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26.5</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90.1</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95.3</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9/8/2014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2,674</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220.8</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209.3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11.5</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30.8</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5.2%</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83.2</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86.7</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9/11/2014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Thu.</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2,676</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226.7</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219.0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7.7</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20.6</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89.4</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95.3</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9/15/2014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2,678</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242.9</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229.5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13.4</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35.8</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96.4</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102.1</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9/16/2014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2,677</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243.0</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231.3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11.7</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31.3</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4.8%</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93.5</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101.9</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9/22/2014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2,683</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218.1</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207.4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10.7</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28.6</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82.2</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88.2</w:t>
            </w:r>
          </w:p>
        </w:tc>
      </w:tr>
      <w:tr w:rsidR="009A283D" w:rsidRPr="008A4A8D" w:rsidTr="00744453">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right"/>
              <w:rPr>
                <w:rFonts w:ascii="Arial" w:eastAsia="Times New Roman" w:hAnsi="Arial" w:cs="Arial"/>
                <w:sz w:val="18"/>
                <w:szCs w:val="18"/>
              </w:rPr>
            </w:pPr>
            <w:r w:rsidRPr="00D62FC0">
              <w:rPr>
                <w:rFonts w:ascii="Arial" w:eastAsia="Times New Roman" w:hAnsi="Arial" w:cs="Arial"/>
                <w:sz w:val="18"/>
                <w:szCs w:val="18"/>
              </w:rPr>
              <w:t>9/23/2014</w:t>
            </w:r>
          </w:p>
        </w:tc>
        <w:tc>
          <w:tcPr>
            <w:tcW w:w="71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Tue.</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2,684</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221.8</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213.8</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8.0</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21.6</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85.6</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91.7</w:t>
            </w:r>
          </w:p>
        </w:tc>
      </w:tr>
      <w:tr w:rsidR="009A283D" w:rsidRPr="008A4A8D" w:rsidTr="00744453">
        <w:trPr>
          <w:trHeight w:val="240"/>
          <w:jc w:val="center"/>
        </w:trPr>
        <w:tc>
          <w:tcPr>
            <w:tcW w:w="173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Avg. Event</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2,670</w:t>
            </w:r>
          </w:p>
        </w:tc>
        <w:tc>
          <w:tcPr>
            <w:tcW w:w="15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222.6</w:t>
            </w:r>
          </w:p>
        </w:tc>
        <w:tc>
          <w:tcPr>
            <w:tcW w:w="1265"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211.5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11.1</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29.6</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5.0%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86.7</w:t>
            </w:r>
          </w:p>
        </w:tc>
        <w:tc>
          <w:tcPr>
            <w:tcW w:w="104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b/>
                <w:bCs/>
                <w:color w:val="000000"/>
                <w:sz w:val="18"/>
                <w:szCs w:val="18"/>
              </w:rPr>
            </w:pPr>
            <w:r w:rsidRPr="00D62FC0">
              <w:rPr>
                <w:rFonts w:ascii="Arial" w:eastAsia="Times New Roman" w:hAnsi="Arial" w:cs="Arial"/>
                <w:b/>
                <w:bCs/>
                <w:color w:val="000000"/>
                <w:sz w:val="18"/>
                <w:szCs w:val="18"/>
              </w:rPr>
              <w:t>92.2</w:t>
            </w:r>
          </w:p>
        </w:tc>
      </w:tr>
    </w:tbl>
    <w:p w:rsidR="009A283D" w:rsidRPr="00FB4EE4" w:rsidRDefault="009A283D" w:rsidP="009A283D">
      <w:pPr>
        <w:pStyle w:val="BodyParaAfterTableFigure"/>
        <w:rPr>
          <w:color w:val="000000" w:themeColor="text1"/>
        </w:rPr>
      </w:pPr>
      <w:r>
        <w:t>Percent impacts ranged from 3.4% to 6.5%, average customer impacts ranged from 7.4 kW to 14.4 kW and aggregate impacts ranged from 19.6 MW to 38.4 MW</w:t>
      </w:r>
      <w:proofErr w:type="gramStart"/>
      <w:r>
        <w:t xml:space="preserve">.  </w:t>
      </w:r>
      <w:proofErr w:type="gramEnd"/>
      <w:r>
        <w:t>On the average event day, the average participant reduced peak period load by 5.0% or 11.1 kW</w:t>
      </w:r>
      <w:proofErr w:type="gramStart"/>
      <w:r>
        <w:t xml:space="preserve">.  </w:t>
      </w:r>
      <w:proofErr w:type="gramEnd"/>
      <w:r>
        <w:t xml:space="preserve">In aggregate, SCE’s CPP customers reduced load by 29.6 MW on average across the 12 </w:t>
      </w:r>
      <w:r w:rsidRPr="00FB4EE4">
        <w:rPr>
          <w:color w:val="000000" w:themeColor="text1"/>
        </w:rPr>
        <w:t>event days</w:t>
      </w:r>
      <w:r>
        <w:rPr>
          <w:color w:val="000000" w:themeColor="text1"/>
        </w:rPr>
        <w:t xml:space="preserve"> from July through September 2014</w:t>
      </w:r>
      <w:r w:rsidRPr="00FB4EE4">
        <w:rPr>
          <w:color w:val="000000" w:themeColor="text1"/>
        </w:rPr>
        <w:t>.</w:t>
      </w:r>
    </w:p>
    <w:p w:rsidR="009A283D" w:rsidRPr="00FB4EE4" w:rsidRDefault="009A283D" w:rsidP="009A283D">
      <w:pPr>
        <w:pStyle w:val="BodyParagraph"/>
        <w:rPr>
          <w:color w:val="000000" w:themeColor="text1"/>
        </w:rPr>
      </w:pPr>
      <w:r w:rsidRPr="00FB4EE4">
        <w:rPr>
          <w:color w:val="000000" w:themeColor="text1"/>
        </w:rPr>
        <w:t xml:space="preserve">Figure </w:t>
      </w:r>
      <w:r>
        <w:rPr>
          <w:color w:val="000000" w:themeColor="text1"/>
        </w:rPr>
        <w:t>6</w:t>
      </w:r>
      <w:r w:rsidRPr="00FB4EE4">
        <w:rPr>
          <w:color w:val="000000" w:themeColor="text1"/>
        </w:rPr>
        <w:t>-1 s</w:t>
      </w:r>
      <w:r>
        <w:rPr>
          <w:color w:val="000000" w:themeColor="text1"/>
        </w:rPr>
        <w:t xml:space="preserve">hows the ex post load impact estimates </w:t>
      </w:r>
      <w:r w:rsidRPr="00FB4EE4">
        <w:rPr>
          <w:color w:val="000000" w:themeColor="text1"/>
        </w:rPr>
        <w:t>for 201</w:t>
      </w:r>
      <w:r>
        <w:rPr>
          <w:color w:val="000000" w:themeColor="text1"/>
        </w:rPr>
        <w:t>4</w:t>
      </w:r>
      <w:r w:rsidRPr="00FB4EE4">
        <w:rPr>
          <w:color w:val="000000" w:themeColor="text1"/>
        </w:rPr>
        <w:t xml:space="preserve"> CPP event days and the average event day</w:t>
      </w:r>
      <w:proofErr w:type="gramStart"/>
      <w:r w:rsidRPr="00FB4EE4">
        <w:rPr>
          <w:color w:val="000000" w:themeColor="text1"/>
        </w:rPr>
        <w:t xml:space="preserve">.  </w:t>
      </w:r>
      <w:proofErr w:type="gramEnd"/>
      <w:r w:rsidRPr="00FB4EE4">
        <w:rPr>
          <w:color w:val="000000" w:themeColor="text1"/>
        </w:rPr>
        <w:t>The figure includes both the estimated percent demand reduction and the 90% confidence intervals</w:t>
      </w:r>
      <w:r>
        <w:rPr>
          <w:color w:val="000000" w:themeColor="text1"/>
        </w:rPr>
        <w:t xml:space="preserve"> around the point estimates</w:t>
      </w:r>
      <w:proofErr w:type="gramStart"/>
      <w:r>
        <w:rPr>
          <w:color w:val="000000" w:themeColor="text1"/>
        </w:rPr>
        <w:t xml:space="preserve">.  </w:t>
      </w:r>
      <w:proofErr w:type="gramEnd"/>
      <w:r>
        <w:rPr>
          <w:color w:val="000000" w:themeColor="text1"/>
        </w:rPr>
        <w:t xml:space="preserve">The </w:t>
      </w:r>
      <w:r w:rsidRPr="00FB4EE4">
        <w:rPr>
          <w:color w:val="000000" w:themeColor="text1"/>
        </w:rPr>
        <w:t xml:space="preserve">confidence bands around the individual event day estimates </w:t>
      </w:r>
      <w:r>
        <w:rPr>
          <w:color w:val="000000" w:themeColor="text1"/>
        </w:rPr>
        <w:t xml:space="preserve">are wider than the confidence band around the </w:t>
      </w:r>
      <w:r w:rsidRPr="00FB4EE4">
        <w:rPr>
          <w:color w:val="000000" w:themeColor="text1"/>
        </w:rPr>
        <w:t>average event day load impact estimate</w:t>
      </w:r>
      <w:proofErr w:type="gramStart"/>
      <w:r w:rsidRPr="00FB4EE4">
        <w:rPr>
          <w:color w:val="000000" w:themeColor="text1"/>
        </w:rPr>
        <w:t xml:space="preserve">. </w:t>
      </w:r>
      <w:r>
        <w:rPr>
          <w:color w:val="000000" w:themeColor="text1"/>
        </w:rPr>
        <w:t xml:space="preserve"> </w:t>
      </w:r>
      <w:proofErr w:type="gramEnd"/>
      <w:r w:rsidRPr="00FB4EE4">
        <w:rPr>
          <w:color w:val="000000" w:themeColor="text1"/>
        </w:rPr>
        <w:t>The individual event day results are less precise because the percent demand reductions are relatively small a</w:t>
      </w:r>
      <w:r>
        <w:rPr>
          <w:color w:val="000000" w:themeColor="text1"/>
        </w:rPr>
        <w:t>nd hard</w:t>
      </w:r>
      <w:r w:rsidRPr="00FB4EE4">
        <w:rPr>
          <w:color w:val="000000" w:themeColor="text1"/>
        </w:rPr>
        <w:t xml:space="preserve"> to detect from the inheren</w:t>
      </w:r>
      <w:r>
        <w:rPr>
          <w:color w:val="000000" w:themeColor="text1"/>
        </w:rPr>
        <w:t>t day-to-day variation in loads</w:t>
      </w:r>
      <w:proofErr w:type="gramStart"/>
      <w:r w:rsidRPr="00FB4EE4">
        <w:rPr>
          <w:color w:val="000000" w:themeColor="text1"/>
        </w:rPr>
        <w:t>.  </w:t>
      </w:r>
      <w:proofErr w:type="gramEnd"/>
      <w:r w:rsidRPr="00FB4EE4">
        <w:rPr>
          <w:color w:val="000000" w:themeColor="text1"/>
        </w:rPr>
        <w:t>A large amount of the event-to-event variation in load impact</w:t>
      </w:r>
      <w:r>
        <w:rPr>
          <w:color w:val="000000" w:themeColor="text1"/>
        </w:rPr>
        <w:t>s</w:t>
      </w:r>
      <w:r w:rsidRPr="00FB4EE4">
        <w:rPr>
          <w:color w:val="000000" w:themeColor="text1"/>
        </w:rPr>
        <w:t xml:space="preserve"> is unexplained noise</w:t>
      </w:r>
      <w:proofErr w:type="gramStart"/>
      <w:r w:rsidRPr="00FB4EE4">
        <w:rPr>
          <w:color w:val="000000" w:themeColor="text1"/>
        </w:rPr>
        <w:t>.</w:t>
      </w:r>
      <w:r>
        <w:rPr>
          <w:color w:val="000000" w:themeColor="text1"/>
        </w:rPr>
        <w:t xml:space="preserve">  </w:t>
      </w:r>
      <w:proofErr w:type="gramEnd"/>
      <w:r>
        <w:rPr>
          <w:color w:val="000000" w:themeColor="text1"/>
        </w:rPr>
        <w:t>Due to the large number of events called, it is likely that some events may be significantly different from the average event by chance.</w:t>
      </w:r>
      <w:r>
        <w:rPr>
          <w:rStyle w:val="FootnoteReference"/>
          <w:color w:val="000000" w:themeColor="text1"/>
        </w:rPr>
        <w:footnoteReference w:id="24"/>
      </w:r>
      <w:r>
        <w:rPr>
          <w:color w:val="000000" w:themeColor="text1"/>
        </w:rPr>
        <w:t xml:space="preserve">   </w:t>
      </w:r>
    </w:p>
    <w:p w:rsidR="009A283D" w:rsidRDefault="009A283D" w:rsidP="009A283D">
      <w:pPr>
        <w:pStyle w:val="TableFigureCaption"/>
        <w:contextualSpacing/>
      </w:pPr>
      <w:r w:rsidRPr="00AE1CBB">
        <w:lastRenderedPageBreak/>
        <w:t xml:space="preserve">Figure </w:t>
      </w:r>
      <w:r>
        <w:t>6</w:t>
      </w:r>
      <w:r w:rsidRPr="00AE1CBB">
        <w:t>-1:</w:t>
      </w:r>
      <w:r>
        <w:t xml:space="preserve"> Ex Post Load Impact Estimates </w:t>
      </w:r>
      <w:r w:rsidRPr="00F92345">
        <w:t xml:space="preserve">with </w:t>
      </w:r>
      <w:r>
        <w:t xml:space="preserve">90% </w:t>
      </w:r>
      <w:r w:rsidRPr="00F92345">
        <w:t>Confidence Intervals</w:t>
      </w:r>
    </w:p>
    <w:p w:rsidR="009A283D" w:rsidRPr="00B269A4" w:rsidRDefault="009A283D" w:rsidP="009A283D">
      <w:pPr>
        <w:pStyle w:val="TableFigureCaption"/>
      </w:pPr>
      <w:r>
        <w:t>SCE 2014 CPP Events (2 to 6 PM)</w:t>
      </w:r>
    </w:p>
    <w:p w:rsidR="009A283D" w:rsidRDefault="009A283D" w:rsidP="009A283D">
      <w:pPr>
        <w:pStyle w:val="Footnote"/>
        <w:jc w:val="center"/>
      </w:pPr>
      <w:bookmarkStart w:id="181" w:name="_Toc326072114"/>
      <w:bookmarkStart w:id="182" w:name="_Toc352323638"/>
      <w:r>
        <w:rPr>
          <w:noProof/>
        </w:rPr>
        <w:drawing>
          <wp:inline distT="0" distB="0" distL="0" distR="0" wp14:anchorId="2BE8FE2D" wp14:editId="246BD56C">
            <wp:extent cx="5943600" cy="33420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43600" cy="3342005"/>
                    </a:xfrm>
                    <a:prstGeom prst="rect">
                      <a:avLst/>
                    </a:prstGeom>
                  </pic:spPr>
                </pic:pic>
              </a:graphicData>
            </a:graphic>
          </wp:inline>
        </w:drawing>
      </w:r>
    </w:p>
    <w:p w:rsidR="009A283D" w:rsidRPr="00003EA2" w:rsidRDefault="009A283D" w:rsidP="009A283D">
      <w:pPr>
        <w:pStyle w:val="Heading2"/>
        <w:spacing w:before="360"/>
        <w:ind w:left="547" w:hanging="547"/>
      </w:pPr>
      <w:bookmarkStart w:id="183" w:name="_Toc412650610"/>
      <w:bookmarkStart w:id="184" w:name="_Toc415494783"/>
      <w:r w:rsidRPr="00930216">
        <w:t>Average</w:t>
      </w:r>
      <w:r>
        <w:t xml:space="preserve"> Event Day Impacts</w:t>
      </w:r>
      <w:bookmarkEnd w:id="181"/>
      <w:bookmarkEnd w:id="182"/>
      <w:bookmarkEnd w:id="183"/>
      <w:bookmarkEnd w:id="184"/>
    </w:p>
    <w:p w:rsidR="009A283D" w:rsidRDefault="009A283D" w:rsidP="009A283D">
      <w:pPr>
        <w:pStyle w:val="BodyParagraph"/>
      </w:pPr>
      <w:r>
        <w:t>Figure 6-2 shows the aggregate hourly impact for CPP customers for the average event in 2014</w:t>
      </w:r>
      <w:proofErr w:type="gramStart"/>
      <w:r>
        <w:t xml:space="preserve">.  </w:t>
      </w:r>
      <w:proofErr w:type="gramEnd"/>
      <w:r>
        <w:t xml:space="preserve">Percent </w:t>
      </w:r>
      <w:r w:rsidRPr="00AD6E36">
        <w:t>reductions</w:t>
      </w:r>
      <w:r>
        <w:t xml:space="preserve"> are similar across event hours</w:t>
      </w:r>
      <w:proofErr w:type="gramStart"/>
      <w:r>
        <w:t xml:space="preserve">.  </w:t>
      </w:r>
      <w:proofErr w:type="gramEnd"/>
      <w:r>
        <w:t>Demand reductions vary between 26.4 MW and 32.0 MW, depending on the event hour</w:t>
      </w:r>
      <w:proofErr w:type="gramStart"/>
      <w:r>
        <w:t xml:space="preserve">.  </w:t>
      </w:r>
      <w:proofErr w:type="gramEnd"/>
      <w:r>
        <w:t>Figure 6-2 also illustrates the electronic appendices filed in conjunction with this report, which present hourly results, with uncertainty bands for individual event days for the program as a whole and for each of the segments discussed in this report.</w:t>
      </w:r>
    </w:p>
    <w:p w:rsidR="009A283D" w:rsidRDefault="009A283D" w:rsidP="009A283D">
      <w:pPr>
        <w:pStyle w:val="BodyParagraph"/>
        <w:sectPr w:rsidR="009A283D" w:rsidSect="003B398F">
          <w:footerReference w:type="default" r:id="rId65"/>
          <w:pgSz w:w="12240" w:h="15840"/>
          <w:pgMar w:top="1440" w:right="1440" w:bottom="1440" w:left="1440" w:header="720" w:footer="720" w:gutter="0"/>
          <w:cols w:space="720"/>
          <w:docGrid w:linePitch="360"/>
        </w:sectPr>
      </w:pPr>
      <w:r w:rsidRPr="009D3A87">
        <w:t>The hourly l</w:t>
      </w:r>
      <w:r>
        <w:t>oad impacts for the average 2014</w:t>
      </w:r>
      <w:r w:rsidRPr="009D3A87">
        <w:t xml:space="preserve"> event day </w:t>
      </w:r>
      <w:r>
        <w:t>are fairly constant over the hours in the event window, whereas in 2013 the impact was slightly stronger in the early hours of the event</w:t>
      </w:r>
      <w:proofErr w:type="gramStart"/>
      <w:r w:rsidRPr="009D3A87">
        <w:t xml:space="preserve">.  </w:t>
      </w:r>
      <w:proofErr w:type="gramEnd"/>
      <w:r w:rsidRPr="009D3A87">
        <w:t>The overall magnitude of the hourly load im</w:t>
      </w:r>
      <w:r>
        <w:t>pacts is slightly lower in 2014:</w:t>
      </w:r>
      <w:r w:rsidRPr="009D3A87">
        <w:t xml:space="preserve"> </w:t>
      </w:r>
      <w:r>
        <w:t>percent impact for the average event day in 2014 and 2013 were 5.0% and 5.9%, yielding 29.6 MW and 35.5 MW, respectively, of load impact</w:t>
      </w:r>
      <w:proofErr w:type="gramStart"/>
      <w:r>
        <w:t xml:space="preserve">.  </w:t>
      </w:r>
      <w:proofErr w:type="gramEnd"/>
      <w:r>
        <w:t>This 17</w:t>
      </w:r>
      <w:r w:rsidRPr="009D3A87">
        <w:t xml:space="preserve">% decrease in CPP </w:t>
      </w:r>
      <w:r>
        <w:t>load reductions relative to 2013 is addressed in the next section</w:t>
      </w:r>
      <w:proofErr w:type="gramStart"/>
      <w:r>
        <w:t xml:space="preserve">.  </w:t>
      </w:r>
      <w:proofErr w:type="gramEnd"/>
      <w:r>
        <w:t>The decrease in load impact MWs relative to the decrease in percentage load impacts, which decreased by 15%, was enhanced by decreased reference loads overall: the average default CPP customer’s reference load was 245.5 kW in 2013 while it was 222.6 kW in 2014.</w:t>
      </w:r>
    </w:p>
    <w:p w:rsidR="009A283D" w:rsidRDefault="009A283D" w:rsidP="009A283D">
      <w:pPr>
        <w:pStyle w:val="TableFigureCaption"/>
        <w:contextualSpacing/>
      </w:pPr>
      <w:r w:rsidRPr="00774FE7">
        <w:lastRenderedPageBreak/>
        <w:t xml:space="preserve">Figure </w:t>
      </w:r>
      <w:r>
        <w:t>6</w:t>
      </w:r>
      <w:r w:rsidRPr="00774FE7">
        <w:t xml:space="preserve">-2: Hourly Default CPP </w:t>
      </w:r>
      <w:proofErr w:type="gramStart"/>
      <w:r w:rsidRPr="00774FE7">
        <w:t>Ex</w:t>
      </w:r>
      <w:proofErr w:type="gramEnd"/>
      <w:r w:rsidRPr="00774FE7">
        <w:t xml:space="preserve"> Post Load Impacts</w:t>
      </w:r>
      <w:r>
        <w:t xml:space="preserve"> Average 2014</w:t>
      </w:r>
      <w:r w:rsidRPr="00774FE7">
        <w:t xml:space="preserve"> </w:t>
      </w:r>
      <w:r>
        <w:t>SC</w:t>
      </w:r>
      <w:r w:rsidRPr="00774FE7">
        <w:t>E CPP Event</w:t>
      </w:r>
    </w:p>
    <w:p w:rsidR="009A283D" w:rsidRPr="003559F3" w:rsidRDefault="009A283D" w:rsidP="009A283D">
      <w:pPr>
        <w:pStyle w:val="TableFigureCaption"/>
        <w:contextualSpacing/>
      </w:pPr>
      <w:r>
        <w:rPr>
          <w:noProof/>
        </w:rPr>
        <w:drawing>
          <wp:inline distT="0" distB="0" distL="0" distR="0" wp14:anchorId="57E7583D" wp14:editId="61310B5A">
            <wp:extent cx="7482500" cy="4452727"/>
            <wp:effectExtent l="0" t="0" r="444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7503668" cy="4465324"/>
                    </a:xfrm>
                    <a:prstGeom prst="rect">
                      <a:avLst/>
                    </a:prstGeom>
                  </pic:spPr>
                </pic:pic>
              </a:graphicData>
            </a:graphic>
          </wp:inline>
        </w:drawing>
      </w:r>
    </w:p>
    <w:p w:rsidR="009A283D" w:rsidRDefault="009A283D" w:rsidP="009A283D">
      <w:pPr>
        <w:pStyle w:val="BodyParagraph"/>
        <w:sectPr w:rsidR="009A283D" w:rsidSect="003B398F">
          <w:headerReference w:type="default" r:id="rId67"/>
          <w:footerReference w:type="default" r:id="rId68"/>
          <w:pgSz w:w="15840" w:h="12240" w:orient="landscape"/>
          <w:pgMar w:top="1440" w:right="1440" w:bottom="1440" w:left="1440" w:header="720" w:footer="720" w:gutter="0"/>
          <w:cols w:space="720"/>
          <w:docGrid w:linePitch="360"/>
        </w:sectPr>
      </w:pPr>
    </w:p>
    <w:p w:rsidR="009A283D" w:rsidRDefault="009A283D" w:rsidP="009A283D">
      <w:pPr>
        <w:pStyle w:val="Heading2"/>
      </w:pPr>
      <w:bookmarkStart w:id="185" w:name="_Toc326072115"/>
      <w:bookmarkStart w:id="186" w:name="_Toc352323639"/>
      <w:bookmarkStart w:id="187" w:name="_Toc412650611"/>
      <w:bookmarkStart w:id="188" w:name="_Toc415494784"/>
      <w:r>
        <w:lastRenderedPageBreak/>
        <w:t xml:space="preserve">Load </w:t>
      </w:r>
      <w:r w:rsidRPr="003850B4">
        <w:t>Impacts</w:t>
      </w:r>
      <w:r>
        <w:t xml:space="preserve"> by Industry</w:t>
      </w:r>
      <w:bookmarkEnd w:id="185"/>
      <w:bookmarkEnd w:id="186"/>
      <w:bookmarkEnd w:id="187"/>
      <w:bookmarkEnd w:id="188"/>
    </w:p>
    <w:p w:rsidR="009A283D" w:rsidRDefault="009A283D" w:rsidP="009A283D">
      <w:pPr>
        <w:pStyle w:val="BodyParagraph"/>
      </w:pPr>
      <w:r>
        <w:t>Table 6-2 compares the reference load, load impact and the number of accounts, in percentage terms, across industry segments</w:t>
      </w:r>
      <w:proofErr w:type="gramStart"/>
      <w:r>
        <w:t xml:space="preserve">.  </w:t>
      </w:r>
      <w:proofErr w:type="gramEnd"/>
      <w:r>
        <w:t>It also shows the share of demand reduced by the average customer within each industry and whether or not the demand reduction was statistically significant with 90% confidence</w:t>
      </w:r>
      <w:proofErr w:type="gramStart"/>
      <w:r>
        <w:t xml:space="preserve">.  </w:t>
      </w:r>
      <w:proofErr w:type="gramEnd"/>
      <w:r>
        <w:t>The industries are presented in rank order based on the aggregate demand reduction</w:t>
      </w:r>
      <w:proofErr w:type="gramStart"/>
      <w:r>
        <w:t xml:space="preserve">.  </w:t>
      </w:r>
      <w:proofErr w:type="gramEnd"/>
      <w:r>
        <w:t xml:space="preserve">Figure 6-3 presents the same information visually and illustrates the concentration of load impacts in specific industries.  </w:t>
      </w:r>
    </w:p>
    <w:p w:rsidR="009A283D" w:rsidRDefault="009A283D" w:rsidP="009A283D">
      <w:pPr>
        <w:pStyle w:val="BodyParagraph"/>
      </w:pPr>
      <w:r w:rsidRPr="00C42F86">
        <w:t>The estimated</w:t>
      </w:r>
      <w:r>
        <w:t xml:space="preserve"> load impacts for the first five</w:t>
      </w:r>
      <w:r w:rsidRPr="00C42F86">
        <w:t xml:space="preserve"> industries presented in Table </w:t>
      </w:r>
      <w:r>
        <w:t>6</w:t>
      </w:r>
      <w:r w:rsidRPr="00C42F86">
        <w:t xml:space="preserve">-2 </w:t>
      </w:r>
      <w:r>
        <w:t>are statistically significant</w:t>
      </w:r>
      <w:proofErr w:type="gramStart"/>
      <w:r>
        <w:t xml:space="preserve">.  </w:t>
      </w:r>
      <w:proofErr w:type="gramEnd"/>
      <w:r>
        <w:t>The load impact for Instituti</w:t>
      </w:r>
      <w:r w:rsidR="002D073D">
        <w:t>o</w:t>
      </w:r>
      <w:r>
        <w:t>nal/Government and Schools sectors are not statistically significant</w:t>
      </w:r>
      <w:proofErr w:type="gramStart"/>
      <w:r>
        <w:t xml:space="preserve">.  </w:t>
      </w:r>
      <w:proofErr w:type="gramEnd"/>
      <w:r>
        <w:t>The largest industry segment in SCE’s default CPP population is</w:t>
      </w:r>
      <w:r w:rsidR="002D073D">
        <w:t> </w:t>
      </w:r>
      <w:r>
        <w:t>Manufacturing, with 729 enrolled accounts</w:t>
      </w:r>
      <w:proofErr w:type="gramStart"/>
      <w:r>
        <w:t xml:space="preserve">.  </w:t>
      </w:r>
      <w:proofErr w:type="gramEnd"/>
      <w:r>
        <w:t>These customers produced the strongest (statistically significant) percentage load impacts of 12.4%.</w:t>
      </w:r>
    </w:p>
    <w:p w:rsidR="009A283D" w:rsidRDefault="009A283D" w:rsidP="009A283D">
      <w:pPr>
        <w:pStyle w:val="TableFigureCaption"/>
      </w:pPr>
      <w:r>
        <w:t xml:space="preserve">Table 6-2: Default CPP </w:t>
      </w:r>
      <w:proofErr w:type="gramStart"/>
      <w:r w:rsidRPr="00D963CC">
        <w:t>Ex</w:t>
      </w:r>
      <w:proofErr w:type="gramEnd"/>
      <w:r w:rsidRPr="00D963CC">
        <w:t xml:space="preserve"> Post Load </w:t>
      </w:r>
      <w:r>
        <w:t>Impact Estimates by Industry</w:t>
      </w:r>
      <w:r>
        <w:br/>
        <w:t>Average 2013 SC</w:t>
      </w:r>
      <w:r w:rsidRPr="00F538E3">
        <w:t>E CPP Event</w:t>
      </w:r>
      <w:r>
        <w:t xml:space="preserve"> (2 to 6 PM)</w:t>
      </w:r>
    </w:p>
    <w:tbl>
      <w:tblPr>
        <w:tblW w:w="9940" w:type="dxa"/>
        <w:jc w:val="center"/>
        <w:tblInd w:w="93" w:type="dxa"/>
        <w:tblLook w:val="04A0" w:firstRow="1" w:lastRow="0" w:firstColumn="1" w:lastColumn="0" w:noHBand="0" w:noVBand="1"/>
      </w:tblPr>
      <w:tblGrid>
        <w:gridCol w:w="3340"/>
        <w:gridCol w:w="1157"/>
        <w:gridCol w:w="957"/>
        <w:gridCol w:w="667"/>
        <w:gridCol w:w="957"/>
        <w:gridCol w:w="567"/>
        <w:gridCol w:w="957"/>
        <w:gridCol w:w="927"/>
        <w:gridCol w:w="1096"/>
        <w:gridCol w:w="700"/>
      </w:tblGrid>
      <w:tr w:rsidR="009A283D" w:rsidRPr="00D62FC0" w:rsidTr="006D677D">
        <w:trPr>
          <w:trHeight w:val="525"/>
          <w:jc w:val="center"/>
        </w:trPr>
        <w:tc>
          <w:tcPr>
            <w:tcW w:w="334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Industry</w:t>
            </w:r>
          </w:p>
        </w:tc>
        <w:tc>
          <w:tcPr>
            <w:tcW w:w="164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Accounts</w:t>
            </w:r>
          </w:p>
        </w:tc>
        <w:tc>
          <w:tcPr>
            <w:tcW w:w="134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Aggregate Reference Load</w:t>
            </w:r>
          </w:p>
        </w:tc>
        <w:tc>
          <w:tcPr>
            <w:tcW w:w="134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Aggregate Impact</w:t>
            </w:r>
          </w:p>
        </w:tc>
        <w:tc>
          <w:tcPr>
            <w:tcW w:w="740" w:type="dxa"/>
            <w:tcBorders>
              <w:top w:val="single" w:sz="4" w:space="0" w:color="auto"/>
              <w:left w:val="nil"/>
              <w:bottom w:val="single" w:sz="4" w:space="0" w:color="FFFFFF"/>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Average Impact</w:t>
            </w:r>
          </w:p>
        </w:tc>
        <w:tc>
          <w:tcPr>
            <w:tcW w:w="84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 Reduction</w:t>
            </w:r>
          </w:p>
        </w:tc>
        <w:tc>
          <w:tcPr>
            <w:tcW w:w="70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Stat. Sig?</w:t>
            </w:r>
          </w:p>
        </w:tc>
      </w:tr>
      <w:tr w:rsidR="009A283D" w:rsidRPr="00D62FC0" w:rsidTr="006D677D">
        <w:trPr>
          <w:trHeight w:val="480"/>
          <w:jc w:val="center"/>
        </w:trPr>
        <w:tc>
          <w:tcPr>
            <w:tcW w:w="334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c>
          <w:tcPr>
            <w:tcW w:w="880" w:type="dxa"/>
            <w:tcBorders>
              <w:top w:val="nil"/>
              <w:left w:val="nil"/>
              <w:bottom w:val="single" w:sz="4" w:space="0" w:color="auto"/>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Enrollment</w:t>
            </w:r>
          </w:p>
        </w:tc>
        <w:tc>
          <w:tcPr>
            <w:tcW w:w="760" w:type="dxa"/>
            <w:tcBorders>
              <w:top w:val="nil"/>
              <w:left w:val="nil"/>
              <w:bottom w:val="single" w:sz="4" w:space="0" w:color="auto"/>
              <w:right w:val="single" w:sz="4" w:space="0" w:color="FFFFFF"/>
            </w:tcBorders>
            <w:shd w:val="clear" w:color="auto" w:fill="0070CD"/>
            <w:vAlign w:val="center"/>
            <w:hideMark/>
          </w:tcPr>
          <w:p w:rsidR="009A283D" w:rsidRPr="00D62FC0" w:rsidRDefault="009A283D" w:rsidP="006D677D">
            <w:pPr>
              <w:spacing w:after="0" w:line="240" w:lineRule="auto"/>
              <w:jc w:val="center"/>
              <w:rPr>
                <w:rFonts w:ascii="Arial" w:eastAsia="Times New Roman" w:hAnsi="Arial" w:cs="Arial"/>
                <w:b/>
                <w:bCs/>
                <w:color w:val="FFFFFF"/>
                <w:sz w:val="18"/>
                <w:szCs w:val="18"/>
              </w:rPr>
            </w:pPr>
            <w:r w:rsidRPr="00D62FC0">
              <w:rPr>
                <w:rFonts w:ascii="Arial" w:eastAsia="Times New Roman" w:hAnsi="Arial" w:cs="Arial"/>
                <w:b/>
                <w:bCs/>
                <w:color w:val="FFFFFF"/>
                <w:sz w:val="18"/>
                <w:szCs w:val="18"/>
              </w:rPr>
              <w:t>% of Program</w:t>
            </w:r>
          </w:p>
        </w:tc>
        <w:tc>
          <w:tcPr>
            <w:tcW w:w="492" w:type="dxa"/>
            <w:tcBorders>
              <w:top w:val="nil"/>
              <w:left w:val="nil"/>
              <w:bottom w:val="single" w:sz="4" w:space="0" w:color="auto"/>
              <w:right w:val="single" w:sz="4" w:space="0" w:color="FFFFFF"/>
            </w:tcBorders>
            <w:shd w:val="clear" w:color="auto" w:fill="0070CD"/>
            <w:noWrap/>
            <w:vAlign w:val="center"/>
            <w:hideMark/>
          </w:tcPr>
          <w:p w:rsidR="009A283D" w:rsidRPr="00744453" w:rsidRDefault="009A283D" w:rsidP="006D677D">
            <w:pPr>
              <w:spacing w:after="0" w:line="240" w:lineRule="auto"/>
              <w:jc w:val="center"/>
              <w:rPr>
                <w:rFonts w:ascii="Arial" w:eastAsia="Times New Roman" w:hAnsi="Arial" w:cs="Arial"/>
                <w:b/>
                <w:color w:val="FFFFFF"/>
                <w:sz w:val="18"/>
                <w:szCs w:val="18"/>
              </w:rPr>
            </w:pPr>
            <w:r w:rsidRPr="00744453">
              <w:rPr>
                <w:rFonts w:ascii="Arial" w:eastAsia="Times New Roman" w:hAnsi="Arial" w:cs="Arial"/>
                <w:b/>
                <w:color w:val="FFFFFF"/>
                <w:sz w:val="18"/>
                <w:szCs w:val="18"/>
              </w:rPr>
              <w:t>MW</w:t>
            </w:r>
          </w:p>
        </w:tc>
        <w:tc>
          <w:tcPr>
            <w:tcW w:w="848" w:type="dxa"/>
            <w:tcBorders>
              <w:top w:val="nil"/>
              <w:left w:val="nil"/>
              <w:bottom w:val="single" w:sz="4" w:space="0" w:color="auto"/>
              <w:right w:val="single" w:sz="4" w:space="0" w:color="FFFFFF"/>
            </w:tcBorders>
            <w:shd w:val="clear" w:color="auto" w:fill="0070CD"/>
            <w:vAlign w:val="center"/>
            <w:hideMark/>
          </w:tcPr>
          <w:p w:rsidR="009A283D" w:rsidRPr="00744453" w:rsidRDefault="009A283D" w:rsidP="006D677D">
            <w:pPr>
              <w:spacing w:after="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 of Program</w:t>
            </w:r>
          </w:p>
        </w:tc>
        <w:tc>
          <w:tcPr>
            <w:tcW w:w="423" w:type="dxa"/>
            <w:tcBorders>
              <w:top w:val="nil"/>
              <w:left w:val="nil"/>
              <w:bottom w:val="single" w:sz="4" w:space="0" w:color="auto"/>
              <w:right w:val="single" w:sz="4" w:space="0" w:color="FFFFFF"/>
            </w:tcBorders>
            <w:shd w:val="clear" w:color="auto" w:fill="0070CD"/>
            <w:noWrap/>
            <w:vAlign w:val="center"/>
            <w:hideMark/>
          </w:tcPr>
          <w:p w:rsidR="009A283D" w:rsidRPr="00744453" w:rsidRDefault="009A283D" w:rsidP="006D677D">
            <w:pPr>
              <w:spacing w:after="0" w:line="240" w:lineRule="auto"/>
              <w:jc w:val="center"/>
              <w:rPr>
                <w:rFonts w:ascii="Arial" w:eastAsia="Times New Roman" w:hAnsi="Arial" w:cs="Arial"/>
                <w:b/>
                <w:color w:val="FFFFFF"/>
                <w:sz w:val="18"/>
                <w:szCs w:val="18"/>
              </w:rPr>
            </w:pPr>
            <w:r w:rsidRPr="00744453">
              <w:rPr>
                <w:rFonts w:ascii="Arial" w:eastAsia="Times New Roman" w:hAnsi="Arial" w:cs="Arial"/>
                <w:b/>
                <w:color w:val="FFFFFF"/>
                <w:sz w:val="18"/>
                <w:szCs w:val="18"/>
              </w:rPr>
              <w:t>MW</w:t>
            </w:r>
          </w:p>
        </w:tc>
        <w:tc>
          <w:tcPr>
            <w:tcW w:w="917" w:type="dxa"/>
            <w:tcBorders>
              <w:top w:val="nil"/>
              <w:left w:val="nil"/>
              <w:bottom w:val="single" w:sz="4" w:space="0" w:color="auto"/>
              <w:right w:val="single" w:sz="4" w:space="0" w:color="FFFFFF"/>
            </w:tcBorders>
            <w:shd w:val="clear" w:color="auto" w:fill="0070CD"/>
            <w:vAlign w:val="center"/>
            <w:hideMark/>
          </w:tcPr>
          <w:p w:rsidR="009A283D" w:rsidRPr="00744453" w:rsidRDefault="009A283D" w:rsidP="006D677D">
            <w:pPr>
              <w:spacing w:after="0" w:line="240" w:lineRule="auto"/>
              <w:jc w:val="center"/>
              <w:rPr>
                <w:rFonts w:ascii="Arial" w:eastAsia="Times New Roman" w:hAnsi="Arial" w:cs="Arial"/>
                <w:b/>
                <w:bCs/>
                <w:color w:val="FFFFFF"/>
                <w:sz w:val="18"/>
                <w:szCs w:val="18"/>
              </w:rPr>
            </w:pPr>
            <w:r w:rsidRPr="00744453">
              <w:rPr>
                <w:rFonts w:ascii="Arial" w:eastAsia="Times New Roman" w:hAnsi="Arial" w:cs="Arial"/>
                <w:b/>
                <w:bCs/>
                <w:color w:val="FFFFFF"/>
                <w:sz w:val="18"/>
                <w:szCs w:val="18"/>
              </w:rPr>
              <w:t>% of Program</w:t>
            </w:r>
          </w:p>
        </w:tc>
        <w:tc>
          <w:tcPr>
            <w:tcW w:w="740" w:type="dxa"/>
            <w:tcBorders>
              <w:top w:val="nil"/>
              <w:left w:val="nil"/>
              <w:bottom w:val="single" w:sz="4" w:space="0" w:color="auto"/>
              <w:right w:val="single" w:sz="4" w:space="0" w:color="FFFFFF"/>
            </w:tcBorders>
            <w:shd w:val="clear" w:color="auto" w:fill="0070CD"/>
            <w:vAlign w:val="center"/>
            <w:hideMark/>
          </w:tcPr>
          <w:p w:rsidR="009A283D" w:rsidRPr="00744453" w:rsidRDefault="009A283D" w:rsidP="006D677D">
            <w:pPr>
              <w:spacing w:after="0" w:line="240" w:lineRule="auto"/>
              <w:jc w:val="center"/>
              <w:rPr>
                <w:rFonts w:ascii="Arial" w:eastAsia="Times New Roman" w:hAnsi="Arial" w:cs="Arial"/>
                <w:b/>
                <w:color w:val="FFFFFF"/>
                <w:sz w:val="18"/>
                <w:szCs w:val="18"/>
              </w:rPr>
            </w:pPr>
            <w:r w:rsidRPr="00744453">
              <w:rPr>
                <w:rFonts w:ascii="Arial" w:eastAsia="Times New Roman" w:hAnsi="Arial" w:cs="Arial"/>
                <w:b/>
                <w:color w:val="FFFFFF"/>
                <w:sz w:val="18"/>
                <w:szCs w:val="18"/>
              </w:rPr>
              <w:t>kW</w:t>
            </w:r>
          </w:p>
        </w:tc>
        <w:tc>
          <w:tcPr>
            <w:tcW w:w="84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c>
          <w:tcPr>
            <w:tcW w:w="70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D62FC0" w:rsidRDefault="009A283D" w:rsidP="006D677D">
            <w:pPr>
              <w:spacing w:after="0" w:line="240" w:lineRule="auto"/>
              <w:rPr>
                <w:rFonts w:ascii="Arial" w:eastAsia="Times New Roman" w:hAnsi="Arial" w:cs="Arial"/>
                <w:b/>
                <w:bCs/>
                <w:color w:val="FFFFFF"/>
                <w:sz w:val="18"/>
                <w:szCs w:val="18"/>
              </w:rPr>
            </w:pP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Manufacturing</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729</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27.3%</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158.1</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26.6%</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19.6</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66.6%</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26.9</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12.4%</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Yes</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Wholesale, Transport &amp; Other Utilities</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444</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16.6%</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92.7</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15.6%</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4.9</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16.7%</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11.1</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5.3%</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Yes</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Offices, Hotels, Finance, Services</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598</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22.4%</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157.1</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26.4%</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3.8</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12.9%</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6.4</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2.4%</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Yes</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Retail Stores</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209</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7.8%</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50.7</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8.5%</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1.4</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4.6%</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6.5</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2.7%</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Yes</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Agriculture, Mining &amp; Construction</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94</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3.5%</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14.3</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2.4%</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3.2%</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10.1</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6.7%</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Yes</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Schools*</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362</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13.6%</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73.6</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12.4%</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-0.5</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-1.7%</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-1.4</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-0.7%</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No</w:t>
            </w:r>
          </w:p>
        </w:tc>
      </w:tr>
      <w:tr w:rsidR="009A283D" w:rsidRPr="00485C9A" w:rsidTr="006D677D">
        <w:trPr>
          <w:trHeight w:val="240"/>
          <w:jc w:val="center"/>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Institutional/Government*</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232</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8.7%</w:t>
            </w:r>
          </w:p>
        </w:tc>
        <w:tc>
          <w:tcPr>
            <w:tcW w:w="492"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47.5</w:t>
            </w:r>
          </w:p>
        </w:tc>
        <w:tc>
          <w:tcPr>
            <w:tcW w:w="848"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8.0%</w:t>
            </w:r>
          </w:p>
        </w:tc>
        <w:tc>
          <w:tcPr>
            <w:tcW w:w="423"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-0.7</w:t>
            </w:r>
          </w:p>
        </w:tc>
        <w:tc>
          <w:tcPr>
            <w:tcW w:w="917"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-2.4%</w:t>
            </w:r>
          </w:p>
        </w:tc>
        <w:tc>
          <w:tcPr>
            <w:tcW w:w="7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-3.1</w:t>
            </w:r>
          </w:p>
        </w:tc>
        <w:tc>
          <w:tcPr>
            <w:tcW w:w="84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-1.5%</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D62FC0" w:rsidRDefault="009A283D" w:rsidP="006D677D">
            <w:pPr>
              <w:spacing w:after="0" w:line="240" w:lineRule="auto"/>
              <w:jc w:val="center"/>
              <w:rPr>
                <w:rFonts w:ascii="Arial" w:eastAsia="Times New Roman" w:hAnsi="Arial" w:cs="Arial"/>
                <w:sz w:val="18"/>
                <w:szCs w:val="18"/>
              </w:rPr>
            </w:pPr>
            <w:r w:rsidRPr="00D62FC0">
              <w:rPr>
                <w:rFonts w:ascii="Arial" w:eastAsia="Times New Roman" w:hAnsi="Arial" w:cs="Arial"/>
                <w:sz w:val="18"/>
                <w:szCs w:val="18"/>
              </w:rPr>
              <w:t>No</w:t>
            </w:r>
          </w:p>
        </w:tc>
      </w:tr>
    </w:tbl>
    <w:p w:rsidR="009A283D" w:rsidRPr="00FE1258" w:rsidRDefault="009A283D" w:rsidP="009A283D">
      <w:pPr>
        <w:pStyle w:val="Footnote"/>
        <w:rPr>
          <w:rFonts w:eastAsia="Times New Roman" w:cs="Times New Roman"/>
        </w:rPr>
      </w:pPr>
      <w:r w:rsidRPr="00FE1258">
        <w:rPr>
          <w:rFonts w:eastAsia="Times New Roman" w:cs="Times New Roman"/>
        </w:rPr>
        <w:t xml:space="preserve">* </w:t>
      </w:r>
      <w:r w:rsidRPr="00FE1258">
        <w:t xml:space="preserve">Does not represent a conclusive finding for this reporting segment </w:t>
      </w:r>
      <w:r>
        <w:t>due to the</w:t>
      </w:r>
      <w:r w:rsidRPr="00FE1258">
        <w:t xml:space="preserve"> uncertainty in the estimate.</w:t>
      </w:r>
    </w:p>
    <w:p w:rsidR="009A283D" w:rsidRPr="00C42F86" w:rsidRDefault="009A283D" w:rsidP="009A283D">
      <w:pPr>
        <w:pStyle w:val="BodyParaAfterTableFigure"/>
      </w:pPr>
      <w:r>
        <w:t xml:space="preserve">Figure 6-3 shows that CPP </w:t>
      </w:r>
      <w:r w:rsidRPr="00C42F86">
        <w:t xml:space="preserve">demand reductions </w:t>
      </w:r>
      <w:r>
        <w:t xml:space="preserve">at SCE </w:t>
      </w:r>
      <w:r w:rsidRPr="00C42F86">
        <w:t xml:space="preserve">are concentrated among customers in the </w:t>
      </w:r>
      <w:r>
        <w:t>M</w:t>
      </w:r>
      <w:r w:rsidRPr="00230675">
        <w:t>anufacturing</w:t>
      </w:r>
      <w:r w:rsidRPr="00C42F86">
        <w:t xml:space="preserve"> and </w:t>
      </w:r>
      <w:r>
        <w:t>W</w:t>
      </w:r>
      <w:r w:rsidRPr="00230675">
        <w:t>holesale</w:t>
      </w:r>
      <w:r>
        <w:t>,</w:t>
      </w:r>
      <w:r w:rsidRPr="00230675">
        <w:t xml:space="preserve"> </w:t>
      </w:r>
      <w:r>
        <w:t>T</w:t>
      </w:r>
      <w:r w:rsidRPr="00230675">
        <w:t>r</w:t>
      </w:r>
      <w:r>
        <w:t>ansport &amp; Other Utilities</w:t>
      </w:r>
      <w:r w:rsidRPr="00C42F86">
        <w:t xml:space="preserve"> segments</w:t>
      </w:r>
      <w:proofErr w:type="gramStart"/>
      <w:r w:rsidRPr="00C42F86">
        <w:t xml:space="preserve">.  </w:t>
      </w:r>
      <w:proofErr w:type="gramEnd"/>
      <w:r w:rsidRPr="00C42F86">
        <w:t xml:space="preserve">The pattern is similar to the industry concentration </w:t>
      </w:r>
      <w:r>
        <w:t>seen</w:t>
      </w:r>
      <w:r w:rsidRPr="00C42F86">
        <w:t xml:space="preserve"> at PG&amp;E, but program resources are even more highly concentrated among these two sectors at SCE</w:t>
      </w:r>
      <w:proofErr w:type="gramStart"/>
      <w:r w:rsidRPr="00C42F86">
        <w:t xml:space="preserve">.  </w:t>
      </w:r>
      <w:proofErr w:type="gramEnd"/>
      <w:r w:rsidRPr="00C42F86">
        <w:t xml:space="preserve">The </w:t>
      </w:r>
      <w:r>
        <w:t>m</w:t>
      </w:r>
      <w:r w:rsidRPr="00230675">
        <w:t>anufacturing</w:t>
      </w:r>
      <w:r w:rsidRPr="00C42F86">
        <w:t xml:space="preserve"> sector </w:t>
      </w:r>
      <w:r>
        <w:t xml:space="preserve">provides 67% </w:t>
      </w:r>
      <w:r w:rsidRPr="00C42F86">
        <w:t>of the</w:t>
      </w:r>
      <w:r>
        <w:t> </w:t>
      </w:r>
      <w:r w:rsidRPr="00C42F86">
        <w:t>aggregate load reduction on the average eve</w:t>
      </w:r>
      <w:r>
        <w:t>nt day, while comprising only 27</w:t>
      </w:r>
      <w:r w:rsidRPr="00C42F86">
        <w:t>% of program enrollment</w:t>
      </w:r>
      <w:proofErr w:type="gramStart"/>
      <w:r w:rsidRPr="00C42F86">
        <w:t xml:space="preserve">.  </w:t>
      </w:r>
      <w:proofErr w:type="gramEnd"/>
      <w:r w:rsidRPr="00C42F86">
        <w:t xml:space="preserve">When combined with </w:t>
      </w:r>
      <w:r>
        <w:t>W</w:t>
      </w:r>
      <w:r w:rsidRPr="00230675">
        <w:t>holesale</w:t>
      </w:r>
      <w:r>
        <w:t>,</w:t>
      </w:r>
      <w:r w:rsidRPr="00230675">
        <w:t xml:space="preserve"> </w:t>
      </w:r>
      <w:r>
        <w:t>T</w:t>
      </w:r>
      <w:r w:rsidRPr="00230675">
        <w:t>r</w:t>
      </w:r>
      <w:r>
        <w:t>ansport &amp; Other Utilities</w:t>
      </w:r>
      <w:r w:rsidRPr="00230675">
        <w:t>,</w:t>
      </w:r>
      <w:r>
        <w:t xml:space="preserve"> the two segments account</w:t>
      </w:r>
      <w:r w:rsidRPr="00C42F86">
        <w:t xml:space="preserve"> for 4</w:t>
      </w:r>
      <w:r>
        <w:t>4</w:t>
      </w:r>
      <w:r w:rsidRPr="00C42F86">
        <w:t xml:space="preserve">% of enrollment but </w:t>
      </w:r>
      <w:r>
        <w:t>83</w:t>
      </w:r>
      <w:r w:rsidRPr="00C42F86">
        <w:t>% of aggregate load reduction</w:t>
      </w:r>
      <w:proofErr w:type="gramStart"/>
      <w:r w:rsidRPr="00C42F86">
        <w:t xml:space="preserve">.  </w:t>
      </w:r>
      <w:proofErr w:type="gramEnd"/>
      <w:r w:rsidRPr="00C42F86">
        <w:t>Customers in these two industry sectors were not substantially bigger than the average customer; they simply reduced a</w:t>
      </w:r>
      <w:r>
        <w:t> </w:t>
      </w:r>
      <w:r w:rsidRPr="00C42F86">
        <w:t xml:space="preserve">larger </w:t>
      </w:r>
      <w:r>
        <w:t xml:space="preserve">share of demand during events. </w:t>
      </w:r>
    </w:p>
    <w:p w:rsidR="009A283D" w:rsidRDefault="009A283D" w:rsidP="009A283D">
      <w:pPr>
        <w:pStyle w:val="BodyParagraph"/>
      </w:pPr>
      <w:r>
        <w:t xml:space="preserve">Similar </w:t>
      </w:r>
      <w:r w:rsidRPr="0036001B">
        <w:t>to CPP at PG&amp;E and SDG&amp;E, schools account for a relatively large percent of program</w:t>
      </w:r>
      <w:r>
        <w:t> </w:t>
      </w:r>
      <w:r w:rsidRPr="0036001B">
        <w:t>participants but do not produce statistically significant load reductions</w:t>
      </w:r>
      <w:proofErr w:type="gramStart"/>
      <w:r w:rsidRPr="0036001B">
        <w:t xml:space="preserve">.  </w:t>
      </w:r>
      <w:proofErr w:type="gramEnd"/>
      <w:r>
        <w:t xml:space="preserve">The </w:t>
      </w:r>
      <w:r w:rsidRPr="0036001B">
        <w:t>Institutional/Government segment</w:t>
      </w:r>
      <w:r>
        <w:t xml:space="preserve"> also</w:t>
      </w:r>
      <w:r w:rsidRPr="0036001B">
        <w:t xml:space="preserve"> showed statistically insignificant results</w:t>
      </w:r>
      <w:proofErr w:type="gramStart"/>
      <w:r w:rsidRPr="0036001B">
        <w:t xml:space="preserve">.  </w:t>
      </w:r>
      <w:proofErr w:type="gramEnd"/>
      <w:r w:rsidRPr="0036001B">
        <w:t>Combined, t</w:t>
      </w:r>
      <w:r>
        <w:t>hese three sectors account for 20</w:t>
      </w:r>
      <w:r w:rsidRPr="0036001B">
        <w:t>% of the program</w:t>
      </w:r>
      <w:r>
        <w:t xml:space="preserve"> load.</w:t>
      </w:r>
    </w:p>
    <w:p w:rsidR="009A283D" w:rsidRPr="00112C9F" w:rsidRDefault="009A283D" w:rsidP="009A283D">
      <w:pPr>
        <w:pStyle w:val="TableFigureCaption"/>
      </w:pPr>
      <w:r w:rsidRPr="00112C9F">
        <w:lastRenderedPageBreak/>
        <w:t xml:space="preserve">Figure </w:t>
      </w:r>
      <w:r>
        <w:t>6</w:t>
      </w:r>
      <w:r w:rsidRPr="00112C9F">
        <w:t xml:space="preserve">-3: Default CPP Enrollment, Load, </w:t>
      </w:r>
      <w:proofErr w:type="gramStart"/>
      <w:r w:rsidRPr="00112C9F">
        <w:t>Impact</w:t>
      </w:r>
      <w:proofErr w:type="gramEnd"/>
      <w:r w:rsidRPr="00112C9F">
        <w:t xml:space="preserve"> and </w:t>
      </w:r>
      <w:r>
        <w:br/>
      </w:r>
      <w:r w:rsidRPr="00112C9F">
        <w:t>Percent Demand Reduction by Industry</w:t>
      </w:r>
      <w:r w:rsidRPr="00112C9F">
        <w:br/>
      </w:r>
      <w:r>
        <w:t>Average 2014</w:t>
      </w:r>
      <w:r w:rsidRPr="00112C9F">
        <w:t xml:space="preserve"> SCE CPP Event</w:t>
      </w:r>
      <w:r>
        <w:t xml:space="preserve"> (2 to </w:t>
      </w:r>
      <w:r w:rsidRPr="00112C9F">
        <w:t>6 PM)</w:t>
      </w:r>
    </w:p>
    <w:p w:rsidR="009A283D" w:rsidRDefault="009A283D" w:rsidP="009A283D">
      <w:pPr>
        <w:pStyle w:val="BodyParagraph"/>
        <w:jc w:val="center"/>
      </w:pPr>
      <w:r>
        <w:rPr>
          <w:noProof/>
        </w:rPr>
        <w:drawing>
          <wp:inline distT="0" distB="0" distL="0" distR="0" wp14:anchorId="318D6AD1" wp14:editId="194795B7">
            <wp:extent cx="5943600" cy="36772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43600" cy="3677285"/>
                    </a:xfrm>
                    <a:prstGeom prst="rect">
                      <a:avLst/>
                    </a:prstGeom>
                  </pic:spPr>
                </pic:pic>
              </a:graphicData>
            </a:graphic>
          </wp:inline>
        </w:drawing>
      </w:r>
    </w:p>
    <w:p w:rsidR="009A283D" w:rsidRDefault="009A283D" w:rsidP="009A283D">
      <w:pPr>
        <w:pStyle w:val="BodyParaAfterTableFigure"/>
      </w:pPr>
      <w:bookmarkStart w:id="189" w:name="_Toc326072116"/>
      <w:bookmarkStart w:id="190" w:name="_Toc352323640"/>
      <w:r>
        <w:t>Before addressing differences between 2013 and 2014 load impacts, we note that comparisons across years must be made conservatively, as the matching and modeling across years var</w:t>
      </w:r>
      <w:r w:rsidR="002D073D">
        <w:t>y</w:t>
      </w:r>
      <w:proofErr w:type="gramStart"/>
      <w:r>
        <w:t xml:space="preserve">.  </w:t>
      </w:r>
      <w:proofErr w:type="gramEnd"/>
      <w:r>
        <w:t>The matching approach in 2014 differed from that in 2013, so some difference may be an artifact of modeling</w:t>
      </w:r>
      <w:proofErr w:type="gramStart"/>
      <w:r>
        <w:t xml:space="preserve">.  </w:t>
      </w:r>
      <w:proofErr w:type="gramEnd"/>
      <w:r>
        <w:t>Relative to 2013</w:t>
      </w:r>
      <w:r w:rsidRPr="00C40F22">
        <w:t>, the industry with the most influence on CPP load impacts at SCE, Manufacturing,</w:t>
      </w:r>
      <w:r>
        <w:t xml:space="preserve"> delivered weaker load impacts: 12.4% in 2014 versus 15.0% in 2013</w:t>
      </w:r>
      <w:proofErr w:type="gramStart"/>
      <w:r>
        <w:t xml:space="preserve">.  </w:t>
      </w:r>
      <w:proofErr w:type="gramEnd"/>
      <w:r>
        <w:t>Enrollment increased in the Retail Stores and Offices, Hotels, Finance, Services sectors by 14% and 21%, respectively</w:t>
      </w:r>
      <w:proofErr w:type="gramStart"/>
      <w:r>
        <w:t xml:space="preserve">.  </w:t>
      </w:r>
      <w:proofErr w:type="gramEnd"/>
      <w:r>
        <w:t>These sectors deliver</w:t>
      </w:r>
      <w:r w:rsidR="00F3775F">
        <w:t>ed</w:t>
      </w:r>
      <w:r>
        <w:t xml:space="preserve"> modest load impacts. Wholesale, Transport and Other Utilities, and Offices, Hotels, Finance, Services were the only sectors in which delivered load impacts increased</w:t>
      </w:r>
      <w:proofErr w:type="gramStart"/>
      <w:r>
        <w:t xml:space="preserve">. </w:t>
      </w:r>
      <w:r w:rsidR="00F3775F">
        <w:t xml:space="preserve"> </w:t>
      </w:r>
      <w:proofErr w:type="gramEnd"/>
      <w:r>
        <w:t>Average customer reference load decreased across all sectors, but fell the most in Wholesale, Transport and Other Utilities, where it fell by 29% from 256.8 kW in 2013 to 208.8 kW in 2014.</w:t>
      </w:r>
    </w:p>
    <w:p w:rsidR="009A283D" w:rsidRDefault="009A283D" w:rsidP="009A283D">
      <w:pPr>
        <w:pStyle w:val="Heading2"/>
      </w:pPr>
      <w:bookmarkStart w:id="191" w:name="_Toc412650612"/>
      <w:bookmarkStart w:id="192" w:name="_Toc415494785"/>
      <w:r>
        <w:t xml:space="preserve">Load </w:t>
      </w:r>
      <w:r w:rsidRPr="00930216">
        <w:t>Impacts</w:t>
      </w:r>
      <w:r>
        <w:t xml:space="preserve"> by Local Capacity Area</w:t>
      </w:r>
      <w:bookmarkEnd w:id="189"/>
      <w:bookmarkEnd w:id="190"/>
      <w:bookmarkEnd w:id="191"/>
      <w:bookmarkEnd w:id="192"/>
    </w:p>
    <w:p w:rsidR="009A283D" w:rsidRDefault="009A283D" w:rsidP="009A283D">
      <w:pPr>
        <w:pStyle w:val="BodyParagraph"/>
      </w:pPr>
      <w:r>
        <w:t>Table 5-3 shows the estimated ex post load impacts by local capacity area (LCA)</w:t>
      </w:r>
      <w:proofErr w:type="gramStart"/>
      <w:r>
        <w:t xml:space="preserve">.  </w:t>
      </w:r>
      <w:proofErr w:type="gramEnd"/>
      <w:r>
        <w:t>In total, 83% of enrolled customers and 86% of aggregate load reduction came from the Los Angeles Basin LCA</w:t>
      </w:r>
      <w:proofErr w:type="gramStart"/>
      <w:r>
        <w:t xml:space="preserve">.  </w:t>
      </w:r>
      <w:proofErr w:type="gramEnd"/>
      <w:r>
        <w:t>Customer size d</w:t>
      </w:r>
      <w:r w:rsidR="00F3775F">
        <w:t>id</w:t>
      </w:r>
      <w:r>
        <w:t xml:space="preserve"> not vary substantially by LCA and load impacts are highest in the LA Basin LCA.</w:t>
      </w:r>
    </w:p>
    <w:p w:rsidR="009A283D" w:rsidRPr="00637B63" w:rsidRDefault="009A283D" w:rsidP="009A283D">
      <w:pPr>
        <w:pStyle w:val="TableFigureCaption"/>
      </w:pPr>
      <w:r w:rsidRPr="00637B63">
        <w:lastRenderedPageBreak/>
        <w:t xml:space="preserve">Table </w:t>
      </w:r>
      <w:r>
        <w:t>6</w:t>
      </w:r>
      <w:r w:rsidRPr="00637B63">
        <w:t xml:space="preserve">-3: Default CPP </w:t>
      </w:r>
      <w:proofErr w:type="gramStart"/>
      <w:r w:rsidRPr="00637B63">
        <w:t>Ex</w:t>
      </w:r>
      <w:proofErr w:type="gramEnd"/>
      <w:r w:rsidRPr="00637B63">
        <w:t xml:space="preserve"> Post Load Impact Estimates by LCA</w:t>
      </w:r>
      <w:r w:rsidRPr="00637B63">
        <w:br/>
      </w:r>
      <w:bookmarkStart w:id="193" w:name="_Toc326072117"/>
      <w:bookmarkStart w:id="194" w:name="_Toc352323641"/>
      <w:r w:rsidRPr="00637B63">
        <w:t>Average 2014 SCE CPP Event (2 to 6 PM)</w:t>
      </w:r>
    </w:p>
    <w:tbl>
      <w:tblPr>
        <w:tblW w:w="9601" w:type="dxa"/>
        <w:jc w:val="center"/>
        <w:tblInd w:w="-25" w:type="dxa"/>
        <w:tblLook w:val="04A0" w:firstRow="1" w:lastRow="0" w:firstColumn="1" w:lastColumn="0" w:noHBand="0" w:noVBand="1"/>
      </w:tblPr>
      <w:tblGrid>
        <w:gridCol w:w="936"/>
        <w:gridCol w:w="777"/>
        <w:gridCol w:w="994"/>
        <w:gridCol w:w="1389"/>
        <w:gridCol w:w="1260"/>
        <w:gridCol w:w="784"/>
        <w:gridCol w:w="1008"/>
        <w:gridCol w:w="1039"/>
        <w:gridCol w:w="707"/>
        <w:gridCol w:w="707"/>
      </w:tblGrid>
      <w:tr w:rsidR="00B65550" w:rsidRPr="000161E4" w:rsidTr="00B65550">
        <w:trPr>
          <w:trHeight w:val="710"/>
          <w:jc w:val="center"/>
        </w:trPr>
        <w:tc>
          <w:tcPr>
            <w:tcW w:w="936" w:type="dxa"/>
            <w:vMerge w:val="restart"/>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Type of Category</w:t>
            </w:r>
          </w:p>
        </w:tc>
        <w:tc>
          <w:tcPr>
            <w:tcW w:w="777" w:type="dxa"/>
            <w:vMerge w:val="restart"/>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Area</w:t>
            </w:r>
          </w:p>
        </w:tc>
        <w:tc>
          <w:tcPr>
            <w:tcW w:w="994" w:type="dxa"/>
            <w:vMerge w:val="restart"/>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Accounts</w:t>
            </w:r>
          </w:p>
        </w:tc>
        <w:tc>
          <w:tcPr>
            <w:tcW w:w="1389"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Reference Load</w:t>
            </w:r>
          </w:p>
        </w:tc>
        <w:tc>
          <w:tcPr>
            <w:tcW w:w="1260"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Load w/ DR</w:t>
            </w:r>
          </w:p>
        </w:tc>
        <w:tc>
          <w:tcPr>
            <w:tcW w:w="784"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Impact</w:t>
            </w:r>
          </w:p>
        </w:tc>
        <w:tc>
          <w:tcPr>
            <w:tcW w:w="1008"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Aggregate Impact</w:t>
            </w:r>
          </w:p>
        </w:tc>
        <w:tc>
          <w:tcPr>
            <w:tcW w:w="1039"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Reduction</w:t>
            </w:r>
          </w:p>
        </w:tc>
        <w:tc>
          <w:tcPr>
            <w:tcW w:w="707" w:type="dxa"/>
            <w:tcBorders>
              <w:top w:val="single" w:sz="4" w:space="0" w:color="000000"/>
              <w:left w:val="nil"/>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Temp</w:t>
            </w:r>
          </w:p>
        </w:tc>
        <w:tc>
          <w:tcPr>
            <w:tcW w:w="707" w:type="dxa"/>
            <w:vMerge w:val="restart"/>
            <w:tcBorders>
              <w:top w:val="single" w:sz="4" w:space="0" w:color="000000"/>
              <w:left w:val="nil"/>
              <w:right w:val="single" w:sz="4" w:space="0" w:color="000000"/>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Stat. sig?</w:t>
            </w:r>
          </w:p>
          <w:p w:rsidR="00B65550" w:rsidRPr="00637B63" w:rsidRDefault="00B65550"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w:t>
            </w:r>
          </w:p>
        </w:tc>
      </w:tr>
      <w:tr w:rsidR="00B65550" w:rsidRPr="000161E4" w:rsidTr="00B65550">
        <w:trPr>
          <w:trHeight w:val="300"/>
          <w:jc w:val="center"/>
        </w:trPr>
        <w:tc>
          <w:tcPr>
            <w:tcW w:w="936" w:type="dxa"/>
            <w:vMerge/>
            <w:tcBorders>
              <w:top w:val="single" w:sz="4" w:space="0" w:color="000000"/>
              <w:left w:val="single" w:sz="4" w:space="0" w:color="000000"/>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rPr>
                <w:rFonts w:ascii="Arial" w:eastAsia="Times New Roman" w:hAnsi="Arial" w:cs="Arial"/>
                <w:b/>
                <w:bCs/>
                <w:color w:val="FFFFFF"/>
                <w:sz w:val="16"/>
                <w:szCs w:val="16"/>
              </w:rPr>
            </w:pPr>
          </w:p>
        </w:tc>
        <w:tc>
          <w:tcPr>
            <w:tcW w:w="777" w:type="dxa"/>
            <w:vMerge/>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rPr>
                <w:rFonts w:ascii="Arial" w:eastAsia="Times New Roman" w:hAnsi="Arial" w:cs="Arial"/>
                <w:b/>
                <w:bCs/>
                <w:color w:val="FFFFFF"/>
                <w:sz w:val="16"/>
                <w:szCs w:val="16"/>
              </w:rPr>
            </w:pPr>
          </w:p>
        </w:tc>
        <w:tc>
          <w:tcPr>
            <w:tcW w:w="994" w:type="dxa"/>
            <w:vMerge/>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B65550" w:rsidRPr="00637B63" w:rsidRDefault="00B65550" w:rsidP="006D677D">
            <w:pPr>
              <w:spacing w:after="0" w:line="240" w:lineRule="auto"/>
              <w:rPr>
                <w:rFonts w:ascii="Arial" w:eastAsia="Times New Roman" w:hAnsi="Arial" w:cs="Arial"/>
                <w:b/>
                <w:bCs/>
                <w:color w:val="FFFFFF"/>
                <w:sz w:val="16"/>
                <w:szCs w:val="16"/>
              </w:rPr>
            </w:pPr>
          </w:p>
        </w:tc>
        <w:tc>
          <w:tcPr>
            <w:tcW w:w="1389"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1260"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784"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1008"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(MW)</w:t>
            </w:r>
          </w:p>
        </w:tc>
        <w:tc>
          <w:tcPr>
            <w:tcW w:w="1039"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w:t>
            </w:r>
          </w:p>
        </w:tc>
        <w:tc>
          <w:tcPr>
            <w:tcW w:w="707" w:type="dxa"/>
            <w:tcBorders>
              <w:top w:val="nil"/>
              <w:left w:val="nil"/>
              <w:bottom w:val="nil"/>
              <w:right w:val="single" w:sz="4" w:space="0" w:color="FFFFFF"/>
            </w:tcBorders>
            <w:shd w:val="clear" w:color="auto" w:fill="0070CD"/>
            <w:noWrap/>
            <w:vAlign w:val="center"/>
            <w:hideMark/>
          </w:tcPr>
          <w:p w:rsidR="00B65550" w:rsidRPr="00637B63" w:rsidRDefault="00B65550"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(°F)</w:t>
            </w:r>
          </w:p>
        </w:tc>
        <w:tc>
          <w:tcPr>
            <w:tcW w:w="707" w:type="dxa"/>
            <w:vMerge/>
            <w:tcBorders>
              <w:left w:val="nil"/>
              <w:bottom w:val="nil"/>
              <w:right w:val="single" w:sz="4" w:space="0" w:color="000000"/>
            </w:tcBorders>
            <w:shd w:val="clear" w:color="auto" w:fill="0070CD"/>
            <w:vAlign w:val="center"/>
            <w:hideMark/>
          </w:tcPr>
          <w:p w:rsidR="00B65550" w:rsidRPr="00637B63" w:rsidRDefault="00B65550" w:rsidP="006D677D">
            <w:pPr>
              <w:spacing w:after="0" w:line="240" w:lineRule="auto"/>
              <w:jc w:val="center"/>
              <w:rPr>
                <w:rFonts w:ascii="Arial" w:eastAsia="Times New Roman" w:hAnsi="Arial" w:cs="Arial"/>
                <w:b/>
                <w:bCs/>
                <w:color w:val="FFFFFF"/>
                <w:sz w:val="16"/>
                <w:szCs w:val="16"/>
              </w:rPr>
            </w:pPr>
          </w:p>
        </w:tc>
      </w:tr>
      <w:tr w:rsidR="00744453" w:rsidRPr="000161E4" w:rsidTr="00B65550">
        <w:trPr>
          <w:trHeight w:val="240"/>
          <w:jc w:val="center"/>
        </w:trPr>
        <w:tc>
          <w:tcPr>
            <w:tcW w:w="9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Local Capacity Area</w:t>
            </w:r>
          </w:p>
        </w:tc>
        <w:tc>
          <w:tcPr>
            <w:tcW w:w="777"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LA Basin</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2,210</w:t>
            </w:r>
          </w:p>
        </w:tc>
        <w:tc>
          <w:tcPr>
            <w:tcW w:w="1389"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227.6</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216.1</w:t>
            </w:r>
          </w:p>
        </w:tc>
        <w:tc>
          <w:tcPr>
            <w:tcW w:w="784"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11.5</w:t>
            </w:r>
          </w:p>
        </w:tc>
        <w:tc>
          <w:tcPr>
            <w:tcW w:w="1008"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25.5</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5.1%</w:t>
            </w:r>
          </w:p>
        </w:tc>
        <w:tc>
          <w:tcPr>
            <w:tcW w:w="707"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86.8</w:t>
            </w:r>
          </w:p>
        </w:tc>
        <w:tc>
          <w:tcPr>
            <w:tcW w:w="707"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0161E4" w:rsidTr="00B65550">
        <w:trPr>
          <w:trHeight w:val="240"/>
          <w:jc w:val="center"/>
        </w:trPr>
        <w:tc>
          <w:tcPr>
            <w:tcW w:w="936" w:type="dxa"/>
            <w:vMerge/>
            <w:tcBorders>
              <w:top w:val="single" w:sz="4" w:space="0" w:color="auto"/>
              <w:left w:val="single" w:sz="4" w:space="0" w:color="auto"/>
              <w:bottom w:val="single" w:sz="4" w:space="0" w:color="000000"/>
              <w:right w:val="single" w:sz="4" w:space="0" w:color="auto"/>
            </w:tcBorders>
            <w:vAlign w:val="center"/>
            <w:hideMark/>
          </w:tcPr>
          <w:p w:rsidR="009A283D" w:rsidRPr="00637B63" w:rsidRDefault="009A283D" w:rsidP="006D677D">
            <w:pPr>
              <w:spacing w:after="0" w:line="240" w:lineRule="auto"/>
              <w:rPr>
                <w:rFonts w:ascii="Arial" w:eastAsia="Times New Roman" w:hAnsi="Arial" w:cs="Arial"/>
                <w:sz w:val="16"/>
                <w:szCs w:val="16"/>
              </w:rPr>
            </w:pPr>
          </w:p>
        </w:tc>
        <w:tc>
          <w:tcPr>
            <w:tcW w:w="77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Outside</w:t>
            </w:r>
          </w:p>
        </w:tc>
        <w:tc>
          <w:tcPr>
            <w:tcW w:w="994"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164</w:t>
            </w:r>
          </w:p>
        </w:tc>
        <w:tc>
          <w:tcPr>
            <w:tcW w:w="138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206.7</w:t>
            </w:r>
          </w:p>
        </w:tc>
        <w:tc>
          <w:tcPr>
            <w:tcW w:w="12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195.8</w:t>
            </w:r>
          </w:p>
        </w:tc>
        <w:tc>
          <w:tcPr>
            <w:tcW w:w="784"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10.9</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1.8</w:t>
            </w:r>
          </w:p>
        </w:tc>
        <w:tc>
          <w:tcPr>
            <w:tcW w:w="103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5.3%</w:t>
            </w:r>
          </w:p>
        </w:tc>
        <w:tc>
          <w:tcPr>
            <w:tcW w:w="70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89.6</w:t>
            </w:r>
          </w:p>
        </w:tc>
        <w:tc>
          <w:tcPr>
            <w:tcW w:w="70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0161E4" w:rsidTr="00B65550">
        <w:trPr>
          <w:trHeight w:val="240"/>
          <w:jc w:val="center"/>
        </w:trPr>
        <w:tc>
          <w:tcPr>
            <w:tcW w:w="936" w:type="dxa"/>
            <w:vMerge/>
            <w:tcBorders>
              <w:top w:val="single" w:sz="4" w:space="0" w:color="auto"/>
              <w:left w:val="single" w:sz="4" w:space="0" w:color="auto"/>
              <w:bottom w:val="single" w:sz="4" w:space="0" w:color="000000"/>
              <w:right w:val="single" w:sz="4" w:space="0" w:color="auto"/>
            </w:tcBorders>
            <w:vAlign w:val="center"/>
            <w:hideMark/>
          </w:tcPr>
          <w:p w:rsidR="009A283D" w:rsidRPr="00637B63" w:rsidRDefault="009A283D" w:rsidP="006D677D">
            <w:pPr>
              <w:spacing w:after="0" w:line="240" w:lineRule="auto"/>
              <w:rPr>
                <w:rFonts w:ascii="Arial" w:eastAsia="Times New Roman" w:hAnsi="Arial" w:cs="Arial"/>
                <w:sz w:val="16"/>
                <w:szCs w:val="16"/>
              </w:rPr>
            </w:pPr>
          </w:p>
        </w:tc>
        <w:tc>
          <w:tcPr>
            <w:tcW w:w="77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Ventura</w:t>
            </w:r>
          </w:p>
        </w:tc>
        <w:tc>
          <w:tcPr>
            <w:tcW w:w="994"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295</w:t>
            </w:r>
          </w:p>
        </w:tc>
        <w:tc>
          <w:tcPr>
            <w:tcW w:w="138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194.3</w:t>
            </w:r>
          </w:p>
        </w:tc>
        <w:tc>
          <w:tcPr>
            <w:tcW w:w="12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186.3</w:t>
            </w:r>
          </w:p>
        </w:tc>
        <w:tc>
          <w:tcPr>
            <w:tcW w:w="784"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8.1</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2.4</w:t>
            </w:r>
          </w:p>
        </w:tc>
        <w:tc>
          <w:tcPr>
            <w:tcW w:w="103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4.2%</w:t>
            </w:r>
          </w:p>
        </w:tc>
        <w:tc>
          <w:tcPr>
            <w:tcW w:w="70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83.9</w:t>
            </w:r>
          </w:p>
        </w:tc>
        <w:tc>
          <w:tcPr>
            <w:tcW w:w="70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bl>
    <w:p w:rsidR="009A283D" w:rsidRDefault="009A283D" w:rsidP="009A283D">
      <w:pPr>
        <w:pStyle w:val="TableFigureCaption"/>
        <w:contextualSpacing/>
        <w:rPr>
          <w:rFonts w:asciiTheme="minorHAnsi" w:hAnsiTheme="minorHAnsi"/>
        </w:rPr>
      </w:pPr>
    </w:p>
    <w:p w:rsidR="009A283D" w:rsidRDefault="009A283D" w:rsidP="009A283D">
      <w:pPr>
        <w:pStyle w:val="Heading2"/>
        <w:spacing w:before="360"/>
        <w:ind w:left="547" w:hanging="547"/>
      </w:pPr>
      <w:bookmarkStart w:id="195" w:name="_Toc412650613"/>
      <w:bookmarkStart w:id="196" w:name="_Toc415494786"/>
      <w:r w:rsidRPr="00930216">
        <w:t>Load</w:t>
      </w:r>
      <w:r>
        <w:t xml:space="preserve"> </w:t>
      </w:r>
      <w:r w:rsidRPr="003850B4">
        <w:t>Impacts</w:t>
      </w:r>
      <w:r>
        <w:t xml:space="preserve"> by Customer Size</w:t>
      </w:r>
      <w:bookmarkEnd w:id="193"/>
      <w:bookmarkEnd w:id="194"/>
      <w:bookmarkEnd w:id="195"/>
      <w:bookmarkEnd w:id="196"/>
    </w:p>
    <w:p w:rsidR="009A283D" w:rsidRDefault="009A283D" w:rsidP="009A283D">
      <w:pPr>
        <w:pStyle w:val="BodyParagraph"/>
      </w:pPr>
      <w:r>
        <w:t>Table 6-4 shows ex post load impact estimates by customer size, using two different size categorization methods</w:t>
      </w:r>
      <w:proofErr w:type="gramStart"/>
      <w:r>
        <w:t xml:space="preserve">.  </w:t>
      </w:r>
      <w:proofErr w:type="gramEnd"/>
      <w:r>
        <w:t>First, load impacts are reported for the three demand response categories: greater than 200 kW, less than 200 kW</w:t>
      </w:r>
      <w:r w:rsidR="00933CBF">
        <w:t xml:space="preserve"> and</w:t>
      </w:r>
      <w:r>
        <w:t xml:space="preserve"> greater than 20 kW and less than 20</w:t>
      </w:r>
      <w:r w:rsidR="00F3775F">
        <w:t xml:space="preserve"> </w:t>
      </w:r>
      <w:r>
        <w:t>kW</w:t>
      </w:r>
      <w:proofErr w:type="gramStart"/>
      <w:r>
        <w:t xml:space="preserve">.  </w:t>
      </w:r>
      <w:proofErr w:type="gramEnd"/>
      <w:r>
        <w:t>The other size categorization is by usage quintile; all default CPP customers were assigned to a</w:t>
      </w:r>
      <w:r w:rsidR="00F3775F">
        <w:t> </w:t>
      </w:r>
      <w:r>
        <w:t>usage quintile based on annual consumption</w:t>
      </w:r>
      <w:proofErr w:type="gramStart"/>
      <w:r>
        <w:t xml:space="preserve">.  </w:t>
      </w:r>
      <w:proofErr w:type="gramEnd"/>
      <w:r>
        <w:t xml:space="preserve">This metric of customer size is more useful than the demand response categorization because it provides estimates for a broad spectrum of customer sizes, where the segments all have sample sizes large enough to support reasonable estimates, which is one shortcoming </w:t>
      </w:r>
      <w:r w:rsidR="00933CBF">
        <w:t>of</w:t>
      </w:r>
      <w:r>
        <w:t xml:space="preserve"> using DMDRCAT status</w:t>
      </w:r>
      <w:proofErr w:type="gramStart"/>
      <w:r>
        <w:t xml:space="preserve">.  </w:t>
      </w:r>
      <w:proofErr w:type="gramEnd"/>
      <w:r>
        <w:t>Table 6-4 shows that percentage load impacts increase with customers size at SCE.</w:t>
      </w:r>
    </w:p>
    <w:p w:rsidR="009A283D" w:rsidRDefault="009A283D" w:rsidP="009A283D">
      <w:pPr>
        <w:pStyle w:val="TableFigureCaption"/>
      </w:pPr>
      <w:r w:rsidRPr="00930216">
        <w:t xml:space="preserve">Table </w:t>
      </w:r>
      <w:r>
        <w:t>6</w:t>
      </w:r>
      <w:r w:rsidRPr="00930216">
        <w:t xml:space="preserve">-4: </w:t>
      </w:r>
      <w:r>
        <w:t xml:space="preserve">Default CPP </w:t>
      </w:r>
      <w:proofErr w:type="gramStart"/>
      <w:r w:rsidRPr="00D963CC">
        <w:t>Ex</w:t>
      </w:r>
      <w:proofErr w:type="gramEnd"/>
      <w:r w:rsidRPr="00D963CC">
        <w:t xml:space="preserve"> Post Load </w:t>
      </w:r>
      <w:r>
        <w:t>Impact Estimates by Customer Size</w:t>
      </w:r>
      <w:r w:rsidRPr="00930216">
        <w:br/>
      </w:r>
      <w:r>
        <w:t>Average 2014 SC</w:t>
      </w:r>
      <w:r w:rsidRPr="00F538E3">
        <w:t>E CPP Event</w:t>
      </w:r>
      <w:r>
        <w:t xml:space="preserve"> (2 to 6 PM)</w:t>
      </w:r>
    </w:p>
    <w:tbl>
      <w:tblPr>
        <w:tblW w:w="9557" w:type="dxa"/>
        <w:jc w:val="center"/>
        <w:tblInd w:w="-342" w:type="dxa"/>
        <w:tblLayout w:type="fixed"/>
        <w:tblLook w:val="04A0" w:firstRow="1" w:lastRow="0" w:firstColumn="1" w:lastColumn="0" w:noHBand="0" w:noVBand="1"/>
      </w:tblPr>
      <w:tblGrid>
        <w:gridCol w:w="1620"/>
        <w:gridCol w:w="990"/>
        <w:gridCol w:w="1440"/>
        <w:gridCol w:w="1170"/>
        <w:gridCol w:w="810"/>
        <w:gridCol w:w="1080"/>
        <w:gridCol w:w="1080"/>
        <w:gridCol w:w="720"/>
        <w:gridCol w:w="647"/>
      </w:tblGrid>
      <w:tr w:rsidR="00744453" w:rsidRPr="00637B63" w:rsidTr="00744453">
        <w:trPr>
          <w:trHeight w:val="764"/>
          <w:jc w:val="center"/>
        </w:trPr>
        <w:tc>
          <w:tcPr>
            <w:tcW w:w="162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bookmarkStart w:id="197" w:name="_Toc326072118"/>
            <w:bookmarkStart w:id="198" w:name="_Toc352323642"/>
            <w:r w:rsidRPr="00637B63">
              <w:rPr>
                <w:rFonts w:ascii="Arial" w:eastAsia="Times New Roman" w:hAnsi="Arial" w:cs="Arial"/>
                <w:b/>
                <w:bCs/>
                <w:color w:val="FFFFFF"/>
                <w:sz w:val="16"/>
                <w:szCs w:val="16"/>
              </w:rPr>
              <w:t>By Annual kWh/h</w:t>
            </w:r>
          </w:p>
        </w:tc>
        <w:tc>
          <w:tcPr>
            <w:tcW w:w="99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Accounts</w:t>
            </w:r>
          </w:p>
        </w:tc>
        <w:tc>
          <w:tcPr>
            <w:tcW w:w="144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Reference Load</w:t>
            </w:r>
          </w:p>
        </w:tc>
        <w:tc>
          <w:tcPr>
            <w:tcW w:w="117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Load w/ DR</w:t>
            </w:r>
          </w:p>
        </w:tc>
        <w:tc>
          <w:tcPr>
            <w:tcW w:w="81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Impact</w:t>
            </w:r>
          </w:p>
        </w:tc>
        <w:tc>
          <w:tcPr>
            <w:tcW w:w="108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Aggregate Impact</w:t>
            </w:r>
          </w:p>
        </w:tc>
        <w:tc>
          <w:tcPr>
            <w:tcW w:w="108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Reduction</w:t>
            </w:r>
          </w:p>
        </w:tc>
        <w:tc>
          <w:tcPr>
            <w:tcW w:w="72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Temp</w:t>
            </w:r>
          </w:p>
        </w:tc>
        <w:tc>
          <w:tcPr>
            <w:tcW w:w="647"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37B63" w:rsidRDefault="009A283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xml:space="preserve">Stat. </w:t>
            </w:r>
            <w:r w:rsidR="00F3775F">
              <w:rPr>
                <w:rFonts w:ascii="Arial" w:eastAsia="Times New Roman" w:hAnsi="Arial" w:cs="Arial"/>
                <w:b/>
                <w:bCs/>
                <w:color w:val="FFFFFF"/>
                <w:sz w:val="16"/>
                <w:szCs w:val="16"/>
              </w:rPr>
              <w:t>S</w:t>
            </w:r>
            <w:r w:rsidRPr="00637B63">
              <w:rPr>
                <w:rFonts w:ascii="Arial" w:eastAsia="Times New Roman" w:hAnsi="Arial" w:cs="Arial"/>
                <w:b/>
                <w:bCs/>
                <w:color w:val="FFFFFF"/>
                <w:sz w:val="16"/>
                <w:szCs w:val="16"/>
              </w:rPr>
              <w:t>ig?</w:t>
            </w:r>
          </w:p>
        </w:tc>
      </w:tr>
      <w:tr w:rsidR="00744453" w:rsidRPr="00637B63" w:rsidTr="00F3775F">
        <w:trPr>
          <w:trHeight w:val="240"/>
          <w:jc w:val="center"/>
        </w:trPr>
        <w:tc>
          <w:tcPr>
            <w:tcW w:w="162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c>
          <w:tcPr>
            <w:tcW w:w="99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c>
          <w:tcPr>
            <w:tcW w:w="144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117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81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(kW)</w:t>
            </w:r>
          </w:p>
        </w:tc>
        <w:tc>
          <w:tcPr>
            <w:tcW w:w="108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(MW)</w:t>
            </w:r>
          </w:p>
        </w:tc>
        <w:tc>
          <w:tcPr>
            <w:tcW w:w="1080" w:type="dxa"/>
            <w:tcBorders>
              <w:top w:val="nil"/>
              <w:left w:val="nil"/>
              <w:bottom w:val="single" w:sz="4" w:space="0" w:color="auto"/>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w:t>
            </w:r>
          </w:p>
        </w:tc>
        <w:tc>
          <w:tcPr>
            <w:tcW w:w="720" w:type="dxa"/>
            <w:tcBorders>
              <w:top w:val="nil"/>
              <w:left w:val="nil"/>
              <w:bottom w:val="single" w:sz="4" w:space="0" w:color="auto"/>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color w:val="FFFFFF"/>
                <w:sz w:val="16"/>
                <w:szCs w:val="16"/>
              </w:rPr>
            </w:pPr>
            <w:r w:rsidRPr="00637B63">
              <w:rPr>
                <w:rFonts w:ascii="Arial" w:eastAsia="Times New Roman" w:hAnsi="Arial" w:cs="Arial"/>
                <w:b/>
                <w:color w:val="FFFFFF"/>
                <w:sz w:val="16"/>
                <w:szCs w:val="16"/>
              </w:rPr>
              <w:t>(°F)</w:t>
            </w:r>
          </w:p>
        </w:tc>
        <w:tc>
          <w:tcPr>
            <w:tcW w:w="647"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r>
      <w:tr w:rsidR="00744453" w:rsidRPr="00611862" w:rsidTr="00F3775F">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Size: Over 200kW</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2,415</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239.0</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226.8</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12.1</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29.3</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5.1%</w:t>
            </w:r>
          </w:p>
        </w:tc>
        <w:tc>
          <w:tcPr>
            <w:tcW w:w="720"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86.6</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Size: 20 kW to 199.99 kW*</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228</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74.7</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74.2</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0.5</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0.1</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87.5</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No</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Size: Under 20 kW*</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26</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-0.4</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0.7</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-1.1</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0.0</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277.4%</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90.7</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No</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5th Quintile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518</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520.4</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486.3</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34.1</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17.7</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6.5%</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86.5</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4th Quintile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520</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236.8</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226.4</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10.4</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5.4</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4.4%</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85.8</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3rd Quintile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540</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177.4</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171.1</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6.3</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3.4</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3.6%</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86.3</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2nd Quintile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548</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133.5</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129.1</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4.3</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2.4</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3.3%</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87.0</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744453" w:rsidRPr="00611862" w:rsidTr="00744453">
        <w:trPr>
          <w:trHeight w:val="24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1st Quintile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543</w:t>
            </w:r>
          </w:p>
        </w:tc>
        <w:tc>
          <w:tcPr>
            <w:tcW w:w="144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60.3</w:t>
            </w:r>
          </w:p>
        </w:tc>
        <w:tc>
          <w:tcPr>
            <w:tcW w:w="117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59.0</w:t>
            </w:r>
          </w:p>
        </w:tc>
        <w:tc>
          <w:tcPr>
            <w:tcW w:w="81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1.3</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0.7</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2.1%</w:t>
            </w:r>
          </w:p>
        </w:tc>
        <w:tc>
          <w:tcPr>
            <w:tcW w:w="72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87.7</w:t>
            </w:r>
          </w:p>
        </w:tc>
        <w:tc>
          <w:tcPr>
            <w:tcW w:w="647"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No</w:t>
            </w:r>
          </w:p>
        </w:tc>
      </w:tr>
    </w:tbl>
    <w:p w:rsidR="009A283D" w:rsidRPr="00FE1258" w:rsidRDefault="009A283D" w:rsidP="009A283D">
      <w:pPr>
        <w:pStyle w:val="Footnote"/>
        <w:rPr>
          <w:rFonts w:eastAsia="Times New Roman" w:cs="Times New Roman"/>
        </w:rPr>
      </w:pPr>
      <w:r w:rsidRPr="00FE1258">
        <w:rPr>
          <w:rFonts w:eastAsia="Times New Roman" w:cs="Times New Roman"/>
        </w:rPr>
        <w:t xml:space="preserve">* </w:t>
      </w:r>
      <w:r w:rsidRPr="00FE1258">
        <w:t>Does not represent a conclusive finding for this reporting segment due to the small sample size and uncertainty in the estimate.</w:t>
      </w:r>
    </w:p>
    <w:p w:rsidR="009A283D" w:rsidRDefault="009A283D" w:rsidP="009A283D">
      <w:pPr>
        <w:pStyle w:val="Heading2"/>
      </w:pPr>
      <w:bookmarkStart w:id="199" w:name="_Toc412650614"/>
      <w:bookmarkStart w:id="200" w:name="_Toc415494787"/>
      <w:r>
        <w:t xml:space="preserve">Load </w:t>
      </w:r>
      <w:r w:rsidRPr="00833444">
        <w:t>Impacts</w:t>
      </w:r>
      <w:r>
        <w:t xml:space="preserve"> for Multi-DR P</w:t>
      </w:r>
      <w:r>
        <w:rPr>
          <w:rFonts w:hint="eastAsia"/>
        </w:rPr>
        <w:t>rogra</w:t>
      </w:r>
      <w:r>
        <w:t>m Participants</w:t>
      </w:r>
      <w:bookmarkEnd w:id="197"/>
      <w:bookmarkEnd w:id="198"/>
      <w:bookmarkEnd w:id="199"/>
      <w:bookmarkEnd w:id="200"/>
    </w:p>
    <w:p w:rsidR="009A283D" w:rsidRDefault="009A283D" w:rsidP="009A283D">
      <w:pPr>
        <w:pStyle w:val="BodyParagraph"/>
      </w:pPr>
      <w:r>
        <w:t>CPP customers can also enroll in several other DR programs at SCE, including the Agricultural Pumping-Interruptible program (API), Base Interruptible Program (BIP), Demand Response Resource Contracts (DRRC) and the Capacity Bidding Program (CBP)</w:t>
      </w:r>
      <w:proofErr w:type="gramStart"/>
      <w:r>
        <w:t xml:space="preserve">.  </w:t>
      </w:r>
      <w:proofErr w:type="gramEnd"/>
      <w:r>
        <w:t>Impacts for customers dually enrolled in some of these programs are not reported as there were too few accounts in the respective segmentation</w:t>
      </w:r>
      <w:proofErr w:type="gramStart"/>
      <w:r>
        <w:t xml:space="preserve">.  </w:t>
      </w:r>
      <w:proofErr w:type="gramEnd"/>
      <w:r>
        <w:t>In 2012, dually</w:t>
      </w:r>
      <w:r w:rsidR="00F3775F">
        <w:t>-</w:t>
      </w:r>
      <w:r>
        <w:t>enrolled customers accounted for a third of program impacts</w:t>
      </w:r>
      <w:proofErr w:type="gramStart"/>
      <w:r>
        <w:t xml:space="preserve">.  </w:t>
      </w:r>
      <w:proofErr w:type="gramEnd"/>
      <w:r>
        <w:t>By 2013, they accounted for 52% of program impacts and</w:t>
      </w:r>
      <w:r w:rsidR="00F3775F">
        <w:t xml:space="preserve"> </w:t>
      </w:r>
      <w:r>
        <w:t xml:space="preserve">in 2014, the </w:t>
      </w:r>
      <w:r>
        <w:lastRenderedPageBreak/>
        <w:t>relatively few dually-enrolled CPP customers still accounted for 49% of CPP load impacts at SCE.</w:t>
      </w:r>
    </w:p>
    <w:p w:rsidR="009A283D" w:rsidRDefault="009A283D" w:rsidP="009A283D">
      <w:pPr>
        <w:pStyle w:val="BodyParagraph"/>
      </w:pPr>
      <w:r w:rsidRPr="00057782">
        <w:t>In 201</w:t>
      </w:r>
      <w:r>
        <w:t>4</w:t>
      </w:r>
      <w:r w:rsidRPr="00057782">
        <w:t xml:space="preserve">, </w:t>
      </w:r>
      <w:r>
        <w:t>164</w:t>
      </w:r>
      <w:r w:rsidRPr="00057782">
        <w:t xml:space="preserve"> accounts </w:t>
      </w:r>
      <w:r w:rsidRPr="002B5AC6">
        <w:t>wer</w:t>
      </w:r>
      <w:r>
        <w:t>e dually</w:t>
      </w:r>
      <w:r w:rsidR="00F3775F">
        <w:t xml:space="preserve"> </w:t>
      </w:r>
      <w:r>
        <w:t>enrolled in one of the four</w:t>
      </w:r>
      <w:r w:rsidRPr="002B5AC6">
        <w:t xml:space="preserve"> DR programs</w:t>
      </w:r>
      <w:r>
        <w:t xml:space="preserve"> listed above</w:t>
      </w:r>
      <w:proofErr w:type="gramStart"/>
      <w:r>
        <w:t xml:space="preserve">.  </w:t>
      </w:r>
      <w:proofErr w:type="gramEnd"/>
      <w:r>
        <w:t>Dual enrollment in BIP grew from 33 to 34 customers from 2013 to 2014</w:t>
      </w:r>
      <w:proofErr w:type="gramStart"/>
      <w:r>
        <w:t xml:space="preserve">.  </w:t>
      </w:r>
      <w:proofErr w:type="gramEnd"/>
      <w:r>
        <w:t xml:space="preserve">Dual enrollment in aggregator programs </w:t>
      </w:r>
      <w:r w:rsidR="00FC48DE">
        <w:t>grew</w:t>
      </w:r>
      <w:r>
        <w:t xml:space="preserve"> from 101 to 12</w:t>
      </w:r>
      <w:r w:rsidR="00FC48DE">
        <w:t>5</w:t>
      </w:r>
      <w:r>
        <w:t xml:space="preserve"> customers from 2013 to 2014</w:t>
      </w:r>
      <w:proofErr w:type="gramStart"/>
      <w:r>
        <w:t xml:space="preserve">.  </w:t>
      </w:r>
      <w:proofErr w:type="gramEnd"/>
      <w:r>
        <w:t>Table 6-5 shows the estimated load impacts for the dually-enrolled customers in SCE’s CPP and DR programs</w:t>
      </w:r>
      <w:proofErr w:type="gramStart"/>
      <w:r>
        <w:t xml:space="preserve">.  </w:t>
      </w:r>
      <w:proofErr w:type="gramEnd"/>
      <w:r>
        <w:t>Customers who enrolled in other programs delivered substantially larger percent demand reductions</w:t>
      </w:r>
      <w:proofErr w:type="gramStart"/>
      <w:r>
        <w:t xml:space="preserve">.  </w:t>
      </w:r>
      <w:proofErr w:type="gramEnd"/>
      <w:r>
        <w:t>Customers dually enrolled in BIP reduced demand by 42% during CPP events; customers dually</w:t>
      </w:r>
      <w:r w:rsidR="00F3775F">
        <w:t xml:space="preserve"> </w:t>
      </w:r>
      <w:r>
        <w:t>enrolled in aggregator programs reduced loads by 38%</w:t>
      </w:r>
      <w:proofErr w:type="gramStart"/>
      <w:r>
        <w:t xml:space="preserve">.  </w:t>
      </w:r>
      <w:proofErr w:type="gramEnd"/>
      <w:r>
        <w:t>Further, the differences between load impacts from dually-enrolled customers and non</w:t>
      </w:r>
      <w:r w:rsidR="00F3775F">
        <w:t>-</w:t>
      </w:r>
      <w:r>
        <w:t>dually-enrolled customers should not be interpreted as an implication that dual participation causes increased CPP performance</w:t>
      </w:r>
      <w:proofErr w:type="gramStart"/>
      <w:r>
        <w:t xml:space="preserve">.  </w:t>
      </w:r>
      <w:proofErr w:type="gramEnd"/>
      <w:r>
        <w:t>Customers who are highly responsive may self-select into other DR programs</w:t>
      </w:r>
      <w:proofErr w:type="gramStart"/>
      <w:r>
        <w:t xml:space="preserve">.  </w:t>
      </w:r>
      <w:proofErr w:type="gramEnd"/>
      <w:r w:rsidRPr="00726D5E">
        <w:t>It is also quite plausible that aggregators target customers in industries that can deliver larger reductions</w:t>
      </w:r>
      <w:proofErr w:type="gramStart"/>
      <w:r w:rsidRPr="00726D5E">
        <w:t>.</w:t>
      </w:r>
      <w:r>
        <w:t xml:space="preserve">  </w:t>
      </w:r>
      <w:proofErr w:type="gramEnd"/>
      <w:r>
        <w:t xml:space="preserve">The higher percent demand reductions could also be due to BIP program administrators and/or aggregators helping customers identify how to reduce their demand during demand response events. </w:t>
      </w:r>
    </w:p>
    <w:p w:rsidR="009A283D" w:rsidRDefault="009A283D" w:rsidP="009A283D">
      <w:pPr>
        <w:pStyle w:val="TableFigureCaption"/>
      </w:pPr>
      <w:r w:rsidRPr="00833444">
        <w:t xml:space="preserve">Table </w:t>
      </w:r>
      <w:r>
        <w:t>6</w:t>
      </w:r>
      <w:r w:rsidRPr="00833444">
        <w:t xml:space="preserve">-5: </w:t>
      </w:r>
      <w:r>
        <w:t xml:space="preserve">Default </w:t>
      </w:r>
      <w:r w:rsidRPr="009A5CD1">
        <w:t>CPP Ex Post Load Impact</w:t>
      </w:r>
      <w:r>
        <w:t xml:space="preserve"> Estimates</w:t>
      </w:r>
      <w:r w:rsidRPr="009A5CD1">
        <w:t xml:space="preserve"> for Dual</w:t>
      </w:r>
      <w:r>
        <w:t>ly-e</w:t>
      </w:r>
      <w:r w:rsidRPr="009A5CD1">
        <w:t>nroll</w:t>
      </w:r>
      <w:r>
        <w:t>ed</w:t>
      </w:r>
      <w:r w:rsidRPr="009A5CD1">
        <w:t xml:space="preserve"> Participants</w:t>
      </w:r>
      <w:r w:rsidRPr="00833444">
        <w:br/>
      </w:r>
      <w:r>
        <w:t>Average 2014 SC</w:t>
      </w:r>
      <w:r w:rsidRPr="00F538E3">
        <w:t>E CPP Event</w:t>
      </w:r>
      <w:r>
        <w:t xml:space="preserve"> (2 to 6 PM)</w:t>
      </w:r>
    </w:p>
    <w:tbl>
      <w:tblPr>
        <w:tblW w:w="9480" w:type="dxa"/>
        <w:jc w:val="center"/>
        <w:tblInd w:w="-342" w:type="dxa"/>
        <w:tblLayout w:type="fixed"/>
        <w:tblLook w:val="04A0" w:firstRow="1" w:lastRow="0" w:firstColumn="1" w:lastColumn="0" w:noHBand="0" w:noVBand="1"/>
      </w:tblPr>
      <w:tblGrid>
        <w:gridCol w:w="1170"/>
        <w:gridCol w:w="990"/>
        <w:gridCol w:w="1530"/>
        <w:gridCol w:w="1283"/>
        <w:gridCol w:w="860"/>
        <w:gridCol w:w="1008"/>
        <w:gridCol w:w="999"/>
        <w:gridCol w:w="880"/>
        <w:gridCol w:w="760"/>
      </w:tblGrid>
      <w:tr w:rsidR="009A283D" w:rsidRPr="00637B63" w:rsidTr="00F0706F">
        <w:trPr>
          <w:trHeight w:val="638"/>
          <w:jc w:val="center"/>
        </w:trPr>
        <w:tc>
          <w:tcPr>
            <w:tcW w:w="117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bookmarkStart w:id="201" w:name="_Toc318473861"/>
            <w:bookmarkStart w:id="202" w:name="_Toc326072119"/>
            <w:bookmarkStart w:id="203" w:name="_Toc352323643"/>
            <w:r w:rsidRPr="00637B63">
              <w:rPr>
                <w:rFonts w:ascii="Arial" w:eastAsia="Times New Roman" w:hAnsi="Arial" w:cs="Arial"/>
                <w:b/>
                <w:bCs/>
                <w:color w:val="FFFFFF"/>
                <w:sz w:val="16"/>
                <w:szCs w:val="16"/>
              </w:rPr>
              <w:t>Dual Enrollment</w:t>
            </w:r>
          </w:p>
        </w:tc>
        <w:tc>
          <w:tcPr>
            <w:tcW w:w="99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Accounts</w:t>
            </w:r>
          </w:p>
        </w:tc>
        <w:tc>
          <w:tcPr>
            <w:tcW w:w="153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Reference Load</w:t>
            </w:r>
          </w:p>
        </w:tc>
        <w:tc>
          <w:tcPr>
            <w:tcW w:w="1283"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Customer Load w/ DR</w:t>
            </w:r>
          </w:p>
        </w:tc>
        <w:tc>
          <w:tcPr>
            <w:tcW w:w="86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Impact</w:t>
            </w:r>
          </w:p>
        </w:tc>
        <w:tc>
          <w:tcPr>
            <w:tcW w:w="1008"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Aggregate Impact</w:t>
            </w:r>
          </w:p>
        </w:tc>
        <w:tc>
          <w:tcPr>
            <w:tcW w:w="999"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Reduction</w:t>
            </w:r>
          </w:p>
        </w:tc>
        <w:tc>
          <w:tcPr>
            <w:tcW w:w="880" w:type="dxa"/>
            <w:tcBorders>
              <w:top w:val="single" w:sz="4" w:space="0" w:color="auto"/>
              <w:left w:val="nil"/>
              <w:bottom w:val="single" w:sz="4" w:space="0" w:color="FFFFFF"/>
              <w:right w:val="single" w:sz="4" w:space="0" w:color="FFFFFF"/>
            </w:tcBorders>
            <w:shd w:val="clear" w:color="auto" w:fill="0070CD"/>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Avg. Temp</w:t>
            </w:r>
          </w:p>
        </w:tc>
        <w:tc>
          <w:tcPr>
            <w:tcW w:w="76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37B63" w:rsidRDefault="009A283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 xml:space="preserve">Stat. </w:t>
            </w:r>
            <w:r w:rsidR="00F3775F">
              <w:rPr>
                <w:rFonts w:ascii="Arial" w:eastAsia="Times New Roman" w:hAnsi="Arial" w:cs="Arial"/>
                <w:b/>
                <w:bCs/>
                <w:color w:val="FFFFFF"/>
                <w:sz w:val="16"/>
                <w:szCs w:val="16"/>
              </w:rPr>
              <w:t>S</w:t>
            </w:r>
            <w:r w:rsidRPr="00637B63">
              <w:rPr>
                <w:rFonts w:ascii="Arial" w:eastAsia="Times New Roman" w:hAnsi="Arial" w:cs="Arial"/>
                <w:b/>
                <w:bCs/>
                <w:color w:val="FFFFFF"/>
                <w:sz w:val="16"/>
                <w:szCs w:val="16"/>
              </w:rPr>
              <w:t>ig?</w:t>
            </w:r>
          </w:p>
        </w:tc>
      </w:tr>
      <w:tr w:rsidR="009A283D" w:rsidRPr="00637B63" w:rsidTr="00F0706F">
        <w:trPr>
          <w:trHeight w:val="240"/>
          <w:jc w:val="center"/>
        </w:trPr>
        <w:tc>
          <w:tcPr>
            <w:tcW w:w="117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c>
          <w:tcPr>
            <w:tcW w:w="99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c>
          <w:tcPr>
            <w:tcW w:w="153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(kW)</w:t>
            </w:r>
          </w:p>
        </w:tc>
        <w:tc>
          <w:tcPr>
            <w:tcW w:w="1283"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(kW)</w:t>
            </w:r>
          </w:p>
        </w:tc>
        <w:tc>
          <w:tcPr>
            <w:tcW w:w="860"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(kW)</w:t>
            </w:r>
          </w:p>
        </w:tc>
        <w:tc>
          <w:tcPr>
            <w:tcW w:w="1008" w:type="dxa"/>
            <w:tcBorders>
              <w:top w:val="nil"/>
              <w:left w:val="nil"/>
              <w:bottom w:val="single" w:sz="4" w:space="0" w:color="000000"/>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(MW)</w:t>
            </w:r>
          </w:p>
        </w:tc>
        <w:tc>
          <w:tcPr>
            <w:tcW w:w="999" w:type="dxa"/>
            <w:tcBorders>
              <w:top w:val="nil"/>
              <w:left w:val="nil"/>
              <w:bottom w:val="single" w:sz="4" w:space="0" w:color="auto"/>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w:t>
            </w:r>
          </w:p>
        </w:tc>
        <w:tc>
          <w:tcPr>
            <w:tcW w:w="880" w:type="dxa"/>
            <w:tcBorders>
              <w:top w:val="nil"/>
              <w:left w:val="nil"/>
              <w:bottom w:val="single" w:sz="4" w:space="0" w:color="auto"/>
              <w:right w:val="single" w:sz="4" w:space="0" w:color="FFFFFF"/>
            </w:tcBorders>
            <w:shd w:val="clear" w:color="auto" w:fill="0070CD"/>
            <w:noWrap/>
            <w:vAlign w:val="center"/>
            <w:hideMark/>
          </w:tcPr>
          <w:p w:rsidR="009A283D" w:rsidRPr="00637B63" w:rsidRDefault="009A283D" w:rsidP="006D677D">
            <w:pPr>
              <w:spacing w:after="0" w:line="240" w:lineRule="auto"/>
              <w:jc w:val="center"/>
              <w:rPr>
                <w:rFonts w:ascii="Arial" w:eastAsia="Times New Roman" w:hAnsi="Arial" w:cs="Arial"/>
                <w:b/>
                <w:bCs/>
                <w:color w:val="FFFFFF"/>
                <w:sz w:val="16"/>
                <w:szCs w:val="16"/>
              </w:rPr>
            </w:pPr>
            <w:r w:rsidRPr="00637B63">
              <w:rPr>
                <w:rFonts w:ascii="Arial" w:eastAsia="Times New Roman" w:hAnsi="Arial" w:cs="Arial"/>
                <w:b/>
                <w:bCs/>
                <w:color w:val="FFFFFF"/>
                <w:sz w:val="16"/>
                <w:szCs w:val="16"/>
              </w:rPr>
              <w:t>(°F)</w:t>
            </w:r>
          </w:p>
        </w:tc>
        <w:tc>
          <w:tcPr>
            <w:tcW w:w="76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37B63" w:rsidRDefault="009A283D" w:rsidP="006D677D">
            <w:pPr>
              <w:spacing w:after="0" w:line="240" w:lineRule="auto"/>
              <w:rPr>
                <w:rFonts w:ascii="Arial" w:eastAsia="Times New Roman" w:hAnsi="Arial" w:cs="Arial"/>
                <w:b/>
                <w:bCs/>
                <w:color w:val="FFFFFF"/>
                <w:sz w:val="16"/>
                <w:szCs w:val="16"/>
              </w:rPr>
            </w:pPr>
          </w:p>
        </w:tc>
      </w:tr>
      <w:tr w:rsidR="009A283D" w:rsidRPr="0039082B" w:rsidTr="00F0706F">
        <w:trPr>
          <w:trHeight w:val="240"/>
          <w:jc w:val="center"/>
        </w:trPr>
        <w:tc>
          <w:tcPr>
            <w:tcW w:w="117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BIP</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34</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338.0</w:t>
            </w:r>
          </w:p>
        </w:tc>
        <w:tc>
          <w:tcPr>
            <w:tcW w:w="1283"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196.9</w:t>
            </w:r>
          </w:p>
        </w:tc>
        <w:tc>
          <w:tcPr>
            <w:tcW w:w="8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141.1</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4.8</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41.7%</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88.0</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9A283D" w:rsidRPr="0039082B" w:rsidTr="00F0706F">
        <w:trPr>
          <w:trHeight w:val="240"/>
          <w:jc w:val="center"/>
        </w:trPr>
        <w:tc>
          <w:tcPr>
            <w:tcW w:w="117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DRC</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106</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337.6</w:t>
            </w:r>
          </w:p>
        </w:tc>
        <w:tc>
          <w:tcPr>
            <w:tcW w:w="1283"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273.9</w:t>
            </w:r>
          </w:p>
        </w:tc>
        <w:tc>
          <w:tcPr>
            <w:tcW w:w="8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63.7</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6.8</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18.9%</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89.0</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9A283D" w:rsidRPr="0039082B" w:rsidTr="00F0706F">
        <w:trPr>
          <w:trHeight w:val="240"/>
          <w:jc w:val="center"/>
        </w:trPr>
        <w:tc>
          <w:tcPr>
            <w:tcW w:w="117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DRC CBP</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19</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410.2</w:t>
            </w:r>
          </w:p>
        </w:tc>
        <w:tc>
          <w:tcPr>
            <w:tcW w:w="1283"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254.4</w:t>
            </w:r>
          </w:p>
        </w:tc>
        <w:tc>
          <w:tcPr>
            <w:tcW w:w="8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155.7</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3.0</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38.0%</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87.6</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r w:rsidR="009A283D" w:rsidRPr="0039082B" w:rsidTr="00F0706F">
        <w:trPr>
          <w:trHeight w:val="240"/>
          <w:jc w:val="center"/>
        </w:trPr>
        <w:tc>
          <w:tcPr>
            <w:tcW w:w="117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Other DR: None</w:t>
            </w:r>
          </w:p>
        </w:tc>
        <w:tc>
          <w:tcPr>
            <w:tcW w:w="99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2,504</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215.1</w:t>
            </w:r>
          </w:p>
        </w:tc>
        <w:tc>
          <w:tcPr>
            <w:tcW w:w="1283"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209.0</w:t>
            </w:r>
          </w:p>
        </w:tc>
        <w:tc>
          <w:tcPr>
            <w:tcW w:w="8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6.1</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15.2</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2.8%</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86.6</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37B63" w:rsidRDefault="009A283D" w:rsidP="006D677D">
            <w:pPr>
              <w:spacing w:after="0" w:line="240" w:lineRule="auto"/>
              <w:jc w:val="center"/>
              <w:rPr>
                <w:rFonts w:ascii="Arial" w:eastAsia="Times New Roman" w:hAnsi="Arial" w:cs="Arial"/>
                <w:sz w:val="16"/>
                <w:szCs w:val="16"/>
              </w:rPr>
            </w:pPr>
            <w:r w:rsidRPr="00637B63">
              <w:rPr>
                <w:rFonts w:ascii="Arial" w:eastAsia="Times New Roman" w:hAnsi="Arial" w:cs="Arial"/>
                <w:sz w:val="16"/>
                <w:szCs w:val="16"/>
              </w:rPr>
              <w:t>Yes</w:t>
            </w:r>
          </w:p>
        </w:tc>
      </w:tr>
    </w:tbl>
    <w:p w:rsidR="009A283D" w:rsidRPr="00FE1258" w:rsidRDefault="009A283D" w:rsidP="009A283D">
      <w:pPr>
        <w:pStyle w:val="Footnote"/>
        <w:rPr>
          <w:rFonts w:eastAsia="Times New Roman" w:cs="Times New Roman"/>
        </w:rPr>
      </w:pPr>
    </w:p>
    <w:p w:rsidR="009A283D" w:rsidRDefault="009A283D" w:rsidP="009A283D">
      <w:pPr>
        <w:pStyle w:val="Heading2"/>
        <w:spacing w:before="360"/>
        <w:ind w:left="547" w:hanging="547"/>
      </w:pPr>
      <w:bookmarkStart w:id="204" w:name="_Toc412650615"/>
      <w:bookmarkStart w:id="205" w:name="_Toc415494788"/>
      <w:r>
        <w:t xml:space="preserve">TI and </w:t>
      </w:r>
      <w:proofErr w:type="spellStart"/>
      <w:r w:rsidRPr="00E059C3">
        <w:t>AutoDR</w:t>
      </w:r>
      <w:proofErr w:type="spellEnd"/>
      <w:r>
        <w:t xml:space="preserve"> Load Impacts and Realization Rates</w:t>
      </w:r>
      <w:bookmarkEnd w:id="201"/>
      <w:bookmarkEnd w:id="202"/>
      <w:bookmarkEnd w:id="203"/>
      <w:bookmarkEnd w:id="204"/>
      <w:bookmarkEnd w:id="205"/>
    </w:p>
    <w:p w:rsidR="009A283D" w:rsidRDefault="009A283D" w:rsidP="009A283D">
      <w:pPr>
        <w:pStyle w:val="BodyParagraph"/>
      </w:pPr>
      <w:r>
        <w:t xml:space="preserve">CPP customers are eligible to participate in Technical Assistance, Technical Incentives and </w:t>
      </w:r>
      <w:proofErr w:type="spellStart"/>
      <w:r>
        <w:t>AutoDR</w:t>
      </w:r>
      <w:proofErr w:type="spellEnd"/>
      <w:r>
        <w:t xml:space="preserve"> (TA/TI and </w:t>
      </w:r>
      <w:proofErr w:type="spellStart"/>
      <w:r>
        <w:t>AutoDR</w:t>
      </w:r>
      <w:proofErr w:type="spellEnd"/>
      <w:r>
        <w:t>) programs</w:t>
      </w:r>
      <w:proofErr w:type="gramStart"/>
      <w:r>
        <w:t xml:space="preserve">.  </w:t>
      </w:r>
      <w:proofErr w:type="gramEnd"/>
      <w:r>
        <w:t>These programs involve a multi-step process that begins with TA, which consists of an audit to determine the potential for installing energy saving technology or processes at a particular premise</w:t>
      </w:r>
      <w:proofErr w:type="gramStart"/>
      <w:r>
        <w:t xml:space="preserve">.  </w:t>
      </w:r>
      <w:proofErr w:type="gramEnd"/>
      <w:r>
        <w:t>A TI is paid if a customer installs equipment or reconfigures processes and demonstrates that they produce load reductions</w:t>
      </w:r>
      <w:proofErr w:type="gramStart"/>
      <w:r>
        <w:t xml:space="preserve">.  </w:t>
      </w:r>
      <w:proofErr w:type="gramEnd"/>
      <w:r>
        <w:t>Although the response is automated, customers must still decide whether and when to drop load</w:t>
      </w:r>
      <w:proofErr w:type="gramStart"/>
      <w:r>
        <w:t xml:space="preserve">.  </w:t>
      </w:r>
      <w:proofErr w:type="spellStart"/>
      <w:proofErr w:type="gramEnd"/>
      <w:r>
        <w:t>AutoDR</w:t>
      </w:r>
      <w:proofErr w:type="spellEnd"/>
      <w:r>
        <w:t xml:space="preserve"> provides an incremental incentive to encourage customers to allow SCE to remotely dispatch the automated load reduction.  </w:t>
      </w:r>
    </w:p>
    <w:p w:rsidR="009A283D" w:rsidRDefault="009A283D" w:rsidP="009A283D">
      <w:pPr>
        <w:pStyle w:val="BodyParagraph"/>
      </w:pPr>
      <w:r>
        <w:t>Historically, most CPP accounts that participated in the enabling technology program completed the process and fully automated the demand reduction to utility signals</w:t>
      </w:r>
      <w:proofErr w:type="gramStart"/>
      <w:r>
        <w:t xml:space="preserve">.  </w:t>
      </w:r>
      <w:proofErr w:type="gramEnd"/>
      <w:r>
        <w:t xml:space="preserve">However, over time, many of these customers </w:t>
      </w:r>
      <w:r w:rsidR="00933CBF">
        <w:t xml:space="preserve">have </w:t>
      </w:r>
      <w:r>
        <w:t>exited the CPP program</w:t>
      </w:r>
      <w:proofErr w:type="gramStart"/>
      <w:r>
        <w:t xml:space="preserve">.  </w:t>
      </w:r>
      <w:proofErr w:type="gramEnd"/>
      <w:r w:rsidR="00FC48DE">
        <w:t xml:space="preserve">During </w:t>
      </w:r>
      <w:r>
        <w:t>2014</w:t>
      </w:r>
      <w:r w:rsidR="00FC48DE">
        <w:t xml:space="preserve"> CPP events</w:t>
      </w:r>
      <w:r>
        <w:t xml:space="preserve">, there were 59 customers enrolled in CPP with </w:t>
      </w:r>
      <w:proofErr w:type="spellStart"/>
      <w:r>
        <w:t>AutoDR</w:t>
      </w:r>
      <w:proofErr w:type="spellEnd"/>
      <w:r>
        <w:t>, up from 14 in 2013</w:t>
      </w:r>
      <w:proofErr w:type="gramStart"/>
      <w:r>
        <w:t xml:space="preserve">.  </w:t>
      </w:r>
      <w:proofErr w:type="gramEnd"/>
      <w:r>
        <w:t xml:space="preserve">Load impact and realization rate estimates for </w:t>
      </w:r>
      <w:proofErr w:type="spellStart"/>
      <w:r>
        <w:t>AutoDR</w:t>
      </w:r>
      <w:proofErr w:type="spellEnd"/>
      <w:r>
        <w:t xml:space="preserve"> customers at SCE are presented in Table 6-6. </w:t>
      </w:r>
    </w:p>
    <w:p w:rsidR="009A283D" w:rsidRDefault="009A283D" w:rsidP="009A283D">
      <w:pPr>
        <w:pStyle w:val="TableFigureCaption"/>
      </w:pPr>
      <w:bookmarkStart w:id="206" w:name="_Toc351454062"/>
      <w:bookmarkStart w:id="207" w:name="_Toc351455487"/>
      <w:bookmarkStart w:id="208" w:name="_Toc351462745"/>
      <w:bookmarkStart w:id="209" w:name="_Toc351469528"/>
      <w:bookmarkStart w:id="210" w:name="_Toc351480957"/>
      <w:bookmarkStart w:id="211" w:name="_Toc352323645"/>
      <w:bookmarkEnd w:id="206"/>
      <w:bookmarkEnd w:id="207"/>
      <w:bookmarkEnd w:id="208"/>
      <w:bookmarkEnd w:id="209"/>
      <w:bookmarkEnd w:id="210"/>
      <w:r>
        <w:lastRenderedPageBreak/>
        <w:t xml:space="preserve">Table 6-6: </w:t>
      </w:r>
      <w:r w:rsidRPr="00D53416">
        <w:t xml:space="preserve">Default CPP </w:t>
      </w:r>
      <w:proofErr w:type="gramStart"/>
      <w:r w:rsidRPr="00D53416">
        <w:t>Ex</w:t>
      </w:r>
      <w:proofErr w:type="gramEnd"/>
      <w:r w:rsidRPr="00D53416">
        <w:t xml:space="preserve"> Post Load Impact Estimates</w:t>
      </w:r>
      <w:r>
        <w:t xml:space="preserve"> of TI and</w:t>
      </w:r>
      <w:r w:rsidRPr="00D53416">
        <w:t xml:space="preserve"> </w:t>
      </w:r>
      <w:proofErr w:type="spellStart"/>
      <w:r w:rsidRPr="00D53416">
        <w:t>AutoDR</w:t>
      </w:r>
      <w:proofErr w:type="spellEnd"/>
      <w:r w:rsidRPr="00D53416">
        <w:t xml:space="preserve"> Participants</w:t>
      </w:r>
      <w:r>
        <w:br/>
        <w:t>Average 201</w:t>
      </w:r>
      <w:r w:rsidR="00FC48DE">
        <w:t>4</w:t>
      </w:r>
      <w:r>
        <w:t xml:space="preserve"> SCE CPP Event (2 to </w:t>
      </w:r>
      <w:r w:rsidRPr="00D53416">
        <w:t>6 PM)</w:t>
      </w:r>
    </w:p>
    <w:tbl>
      <w:tblPr>
        <w:tblW w:w="9174" w:type="dxa"/>
        <w:jc w:val="center"/>
        <w:tblInd w:w="-464" w:type="dxa"/>
        <w:tblLook w:val="04A0" w:firstRow="1" w:lastRow="0" w:firstColumn="1" w:lastColumn="0" w:noHBand="0" w:noVBand="1"/>
      </w:tblPr>
      <w:tblGrid>
        <w:gridCol w:w="2197"/>
        <w:gridCol w:w="1037"/>
        <w:gridCol w:w="880"/>
        <w:gridCol w:w="1096"/>
        <w:gridCol w:w="866"/>
        <w:gridCol w:w="874"/>
        <w:gridCol w:w="1057"/>
        <w:gridCol w:w="1167"/>
      </w:tblGrid>
      <w:tr w:rsidR="008028DC" w:rsidRPr="00DC58AC" w:rsidTr="008028DC">
        <w:trPr>
          <w:trHeight w:val="629"/>
          <w:jc w:val="center"/>
        </w:trPr>
        <w:tc>
          <w:tcPr>
            <w:tcW w:w="2197" w:type="dxa"/>
            <w:vMerge w:val="restart"/>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bookmarkStart w:id="212" w:name="_Toc352323661"/>
            <w:r w:rsidRPr="0061265C">
              <w:rPr>
                <w:rFonts w:ascii="Arial" w:eastAsia="Times New Roman" w:hAnsi="Arial" w:cs="Arial"/>
                <w:b/>
                <w:bCs/>
                <w:color w:val="FFFFFF"/>
                <w:sz w:val="18"/>
                <w:szCs w:val="18"/>
              </w:rPr>
              <w:t>Enabling Technology</w:t>
            </w:r>
          </w:p>
        </w:tc>
        <w:tc>
          <w:tcPr>
            <w:tcW w:w="1037"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Accounts</w:t>
            </w:r>
          </w:p>
        </w:tc>
        <w:tc>
          <w:tcPr>
            <w:tcW w:w="880"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Load Impact</w:t>
            </w:r>
          </w:p>
        </w:tc>
        <w:tc>
          <w:tcPr>
            <w:tcW w:w="1096"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 Reduction</w:t>
            </w:r>
          </w:p>
        </w:tc>
        <w:tc>
          <w:tcPr>
            <w:tcW w:w="1740" w:type="dxa"/>
            <w:gridSpan w:val="2"/>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90% Confidence Interval</w:t>
            </w:r>
          </w:p>
        </w:tc>
        <w:tc>
          <w:tcPr>
            <w:tcW w:w="1057"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Approved kW</w:t>
            </w:r>
          </w:p>
        </w:tc>
        <w:tc>
          <w:tcPr>
            <w:tcW w:w="1167" w:type="dxa"/>
            <w:tcBorders>
              <w:top w:val="single" w:sz="4" w:space="0" w:color="000000"/>
              <w:left w:val="nil"/>
              <w:bottom w:val="single" w:sz="4" w:space="0" w:color="FFFFFF"/>
              <w:right w:val="single" w:sz="4" w:space="0" w:color="000000"/>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Realization Rate</w:t>
            </w:r>
          </w:p>
        </w:tc>
      </w:tr>
      <w:tr w:rsidR="008028DC" w:rsidRPr="00DC58AC" w:rsidTr="008028DC">
        <w:trPr>
          <w:trHeight w:val="341"/>
          <w:jc w:val="center"/>
        </w:trPr>
        <w:tc>
          <w:tcPr>
            <w:tcW w:w="2197" w:type="dxa"/>
            <w:vMerge/>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1037"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880"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(kW)</w:t>
            </w:r>
          </w:p>
        </w:tc>
        <w:tc>
          <w:tcPr>
            <w:tcW w:w="1096"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w:t>
            </w:r>
          </w:p>
        </w:tc>
        <w:tc>
          <w:tcPr>
            <w:tcW w:w="866"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Lower</w:t>
            </w:r>
          </w:p>
        </w:tc>
        <w:tc>
          <w:tcPr>
            <w:tcW w:w="874"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Upper</w:t>
            </w:r>
          </w:p>
        </w:tc>
        <w:tc>
          <w:tcPr>
            <w:tcW w:w="1057"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w:t>
            </w:r>
          </w:p>
        </w:tc>
        <w:tc>
          <w:tcPr>
            <w:tcW w:w="1167" w:type="dxa"/>
            <w:tcBorders>
              <w:top w:val="nil"/>
              <w:left w:val="nil"/>
              <w:bottom w:val="single" w:sz="4" w:space="0" w:color="000000"/>
              <w:right w:val="single" w:sz="4" w:space="0" w:color="000000"/>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w:t>
            </w:r>
          </w:p>
        </w:tc>
      </w:tr>
      <w:tr w:rsidR="009A283D" w:rsidRPr="00DC58AC" w:rsidTr="008028DC">
        <w:trPr>
          <w:trHeight w:val="359"/>
          <w:jc w:val="center"/>
        </w:trPr>
        <w:tc>
          <w:tcPr>
            <w:tcW w:w="2197" w:type="dxa"/>
            <w:tcBorders>
              <w:top w:val="nil"/>
              <w:left w:val="single" w:sz="4" w:space="0" w:color="000000"/>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Auto DR</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59</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98.3</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20.3%</w:t>
            </w:r>
          </w:p>
        </w:tc>
        <w:tc>
          <w:tcPr>
            <w:tcW w:w="86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82.1</w:t>
            </w:r>
          </w:p>
        </w:tc>
        <w:tc>
          <w:tcPr>
            <w:tcW w:w="87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114.4</w:t>
            </w:r>
          </w:p>
        </w:tc>
        <w:tc>
          <w:tcPr>
            <w:tcW w:w="1057" w:type="dxa"/>
            <w:tcBorders>
              <w:top w:val="nil"/>
              <w:left w:val="nil"/>
              <w:bottom w:val="single" w:sz="4" w:space="0" w:color="auto"/>
              <w:right w:val="single" w:sz="4" w:space="0" w:color="auto"/>
            </w:tcBorders>
            <w:shd w:val="clear" w:color="000000" w:fill="FFFFFF"/>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264.7</w:t>
            </w:r>
          </w:p>
        </w:tc>
        <w:tc>
          <w:tcPr>
            <w:tcW w:w="1167" w:type="dxa"/>
            <w:tcBorders>
              <w:top w:val="nil"/>
              <w:left w:val="nil"/>
              <w:bottom w:val="single" w:sz="4" w:space="0" w:color="auto"/>
              <w:right w:val="single" w:sz="4" w:space="0" w:color="000000"/>
            </w:tcBorders>
            <w:shd w:val="clear" w:color="000000" w:fill="FFFFFF"/>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37%</w:t>
            </w:r>
          </w:p>
        </w:tc>
      </w:tr>
      <w:tr w:rsidR="009A283D" w:rsidRPr="00DC58AC" w:rsidTr="008028DC">
        <w:trPr>
          <w:trHeight w:val="530"/>
          <w:jc w:val="center"/>
        </w:trPr>
        <w:tc>
          <w:tcPr>
            <w:tcW w:w="2197" w:type="dxa"/>
            <w:tcBorders>
              <w:top w:val="nil"/>
              <w:left w:val="single" w:sz="4" w:space="0" w:color="000000"/>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Auto DR/TA&amp;TI: None</w:t>
            </w:r>
          </w:p>
        </w:tc>
        <w:tc>
          <w:tcPr>
            <w:tcW w:w="103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2,607</w:t>
            </w:r>
          </w:p>
        </w:tc>
        <w:tc>
          <w:tcPr>
            <w:tcW w:w="8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6.5</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3.1%</w:t>
            </w:r>
          </w:p>
        </w:tc>
        <w:tc>
          <w:tcPr>
            <w:tcW w:w="86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5.4</w:t>
            </w:r>
          </w:p>
        </w:tc>
        <w:tc>
          <w:tcPr>
            <w:tcW w:w="87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7.6</w:t>
            </w:r>
          </w:p>
        </w:tc>
        <w:tc>
          <w:tcPr>
            <w:tcW w:w="105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NA</w:t>
            </w:r>
          </w:p>
        </w:tc>
        <w:tc>
          <w:tcPr>
            <w:tcW w:w="116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NA</w:t>
            </w:r>
          </w:p>
        </w:tc>
      </w:tr>
    </w:tbl>
    <w:p w:rsidR="009A283D" w:rsidRDefault="009A283D" w:rsidP="009A283D">
      <w:pPr>
        <w:pStyle w:val="BodyParaAfterTableFigure"/>
      </w:pPr>
      <w:r>
        <w:br w:type="page"/>
      </w:r>
    </w:p>
    <w:p w:rsidR="009A283D" w:rsidRDefault="009A283D" w:rsidP="009A283D">
      <w:pPr>
        <w:pStyle w:val="Heading1"/>
        <w:ind w:left="432" w:hanging="432"/>
      </w:pPr>
      <w:bookmarkStart w:id="213" w:name="_Toc412650616"/>
      <w:bookmarkStart w:id="214" w:name="_Toc415494789"/>
      <w:r>
        <w:lastRenderedPageBreak/>
        <w:t>SCE Ex Ante Load Impacts</w:t>
      </w:r>
      <w:bookmarkEnd w:id="212"/>
      <w:bookmarkEnd w:id="213"/>
      <w:bookmarkEnd w:id="214"/>
    </w:p>
    <w:p w:rsidR="009A283D" w:rsidRDefault="009A283D" w:rsidP="009A283D">
      <w:pPr>
        <w:pStyle w:val="BodyParagraph"/>
        <w:rPr>
          <w:highlight w:val="yellow"/>
        </w:rPr>
      </w:pPr>
      <w:r w:rsidRPr="007954D4">
        <w:t xml:space="preserve">This section presents ex ante load impact estimates for </w:t>
      </w:r>
      <w:r>
        <w:t>SCE's</w:t>
      </w:r>
      <w:r w:rsidRPr="007954D4">
        <w:t xml:space="preserve"> </w:t>
      </w:r>
      <w:r>
        <w:t>non-residential CPP tariff</w:t>
      </w:r>
      <w:proofErr w:type="gramStart"/>
      <w:r>
        <w:t xml:space="preserve">.  </w:t>
      </w:r>
      <w:proofErr w:type="gramEnd"/>
      <w:r>
        <w:t>As discussed in Section 3, the main purpose of ex ante load impact estimates is to reflect the load reduction capability of a demand response resource under a standard set of conditions that align with system planning</w:t>
      </w:r>
      <w:proofErr w:type="gramStart"/>
      <w:r>
        <w:t xml:space="preserve">.  </w:t>
      </w:r>
      <w:proofErr w:type="gramEnd"/>
      <w:r>
        <w:t>These estimates are used in assessing alternatives for meeting peak demand, cost-effectiveness comparisons and long-term planning</w:t>
      </w:r>
      <w:proofErr w:type="gramStart"/>
      <w:r>
        <w:t xml:space="preserve">.  </w:t>
      </w:r>
      <w:proofErr w:type="gramEnd"/>
      <w:r>
        <w:t xml:space="preserve">The </w:t>
      </w:r>
      <w:proofErr w:type="spellStart"/>
      <w:r>
        <w:t>ex ante</w:t>
      </w:r>
      <w:proofErr w:type="spellEnd"/>
      <w:r>
        <w:t xml:space="preserve"> impact estimates for SCE are based on ex post load impacts of CPP events that occurred in 2013 and 2014 for the group of persistent customers that remained on the CPP tariff for both years</w:t>
      </w:r>
      <w:proofErr w:type="gramStart"/>
      <w:r>
        <w:t xml:space="preserve">.  </w:t>
      </w:r>
      <w:proofErr w:type="gramEnd"/>
      <w:r>
        <w:t xml:space="preserve">In total, load impact estimates for up to 22 events were used as input to the </w:t>
      </w:r>
      <w:proofErr w:type="spellStart"/>
      <w:r>
        <w:t>ex ante</w:t>
      </w:r>
      <w:proofErr w:type="spellEnd"/>
      <w:r>
        <w:t xml:space="preserve"> model</w:t>
      </w:r>
      <w:proofErr w:type="gramStart"/>
      <w:r>
        <w:t xml:space="preserve">.  </w:t>
      </w:r>
      <w:proofErr w:type="gramEnd"/>
      <w:r>
        <w:t>All load impact estimates presented here are incremental to the effects of the underlying TOU rates.</w:t>
      </w:r>
    </w:p>
    <w:p w:rsidR="009A283D" w:rsidRDefault="009A283D" w:rsidP="009A283D">
      <w:pPr>
        <w:pStyle w:val="BodyParagraph"/>
      </w:pPr>
      <w:r>
        <w:t>E</w:t>
      </w:r>
      <w:r w:rsidRPr="00B73C21">
        <w:t xml:space="preserve">x ante load impact projections </w:t>
      </w:r>
      <w:r>
        <w:t xml:space="preserve">are shown separately </w:t>
      </w:r>
      <w:r w:rsidRPr="00B73C21">
        <w:t xml:space="preserve">for </w:t>
      </w:r>
      <w:r>
        <w:t xml:space="preserve">small, </w:t>
      </w:r>
      <w:r w:rsidRPr="00B73C21">
        <w:t>medium and large customers projected to</w:t>
      </w:r>
      <w:r>
        <w:t> receive service under SCE</w:t>
      </w:r>
      <w:r w:rsidRPr="00B73C21">
        <w:t xml:space="preserve">’s </w:t>
      </w:r>
      <w:r>
        <w:t xml:space="preserve">default </w:t>
      </w:r>
      <w:r w:rsidRPr="00B73C21">
        <w:t>CPP tariff</w:t>
      </w:r>
      <w:proofErr w:type="gramStart"/>
      <w:r w:rsidRPr="00B73C21">
        <w:t xml:space="preserve">.  </w:t>
      </w:r>
      <w:proofErr w:type="gramEnd"/>
      <w:r>
        <w:t>The l</w:t>
      </w:r>
      <w:r w:rsidRPr="00B73C21">
        <w:t xml:space="preserve">oad reduction capability is summarized </w:t>
      </w:r>
      <w:r>
        <w:t>for each segment under</w:t>
      </w:r>
      <w:r w:rsidRPr="00B73C21">
        <w:t xml:space="preserve"> annual system peak day condition</w:t>
      </w:r>
      <w:r>
        <w:t>s for</w:t>
      </w:r>
      <w:r w:rsidRPr="00B73C21">
        <w:t xml:space="preserve"> </w:t>
      </w:r>
      <w:r>
        <w:t xml:space="preserve">a </w:t>
      </w:r>
      <w:r w:rsidRPr="00B73C21">
        <w:t>1-in-2 and a 1</w:t>
      </w:r>
      <w:r>
        <w:noBreakHyphen/>
        <w:t>in</w:t>
      </w:r>
      <w:r>
        <w:noBreakHyphen/>
        <w:t>10 weather year for selected years (e.g., 2015, 2016, 2017 and 2025),</w:t>
      </w:r>
      <w:r>
        <w:rPr>
          <w:rStyle w:val="FootnoteReference"/>
        </w:rPr>
        <w:footnoteReference w:id="25"/>
      </w:r>
      <w:r w:rsidR="00CC545C">
        <w:t xml:space="preserve"> based on SC</w:t>
      </w:r>
      <w:r>
        <w:t>E and CAISO weather scenarios</w:t>
      </w:r>
      <w:proofErr w:type="gramStart"/>
      <w:r w:rsidRPr="00B73C21">
        <w:t xml:space="preserve">. </w:t>
      </w:r>
      <w:r>
        <w:t xml:space="preserve"> </w:t>
      </w:r>
      <w:proofErr w:type="gramEnd"/>
      <w:r>
        <w:t>The estimates presented here are not adjusted for dual enrollment of CPP participants in other DR programs</w:t>
      </w:r>
      <w:proofErr w:type="gramStart"/>
      <w:r>
        <w:t xml:space="preserve">.  </w:t>
      </w:r>
      <w:proofErr w:type="gramEnd"/>
      <w:r>
        <w:t>Portfolio estimates that net out impacts for other programs if called at the same time are presented in Appendix E</w:t>
      </w:r>
      <w:proofErr w:type="gramStart"/>
      <w:r>
        <w:t xml:space="preserve">.  </w:t>
      </w:r>
      <w:proofErr w:type="gramEnd"/>
      <w:r>
        <w:t xml:space="preserve">Explanations of how CPP ex ante load </w:t>
      </w:r>
      <w:r w:rsidRPr="00B73C21">
        <w:t>impact</w:t>
      </w:r>
      <w:r>
        <w:t xml:space="preserve"> estimates</w:t>
      </w:r>
      <w:r w:rsidRPr="00B73C21">
        <w:t xml:space="preserve"> vary by geographic</w:t>
      </w:r>
      <w:r>
        <w:t xml:space="preserve"> location and month under</w:t>
      </w:r>
      <w:r w:rsidRPr="00B73C21">
        <w:t xml:space="preserve"> standardized ex ante conditions</w:t>
      </w:r>
      <w:r>
        <w:t xml:space="preserve"> are also included in this section</w:t>
      </w:r>
      <w:r w:rsidRPr="00B73C21">
        <w:t>.</w:t>
      </w:r>
      <w:r>
        <w:t xml:space="preserve">  </w:t>
      </w:r>
    </w:p>
    <w:p w:rsidR="009A283D" w:rsidRDefault="009A283D" w:rsidP="009A283D">
      <w:pPr>
        <w:pStyle w:val="Heading2"/>
        <w:ind w:left="576" w:hanging="576"/>
      </w:pPr>
      <w:bookmarkStart w:id="215" w:name="_Toc415494790"/>
      <w:r>
        <w:t>Large C&amp;I Ex Ante Load Impacts</w:t>
      </w:r>
      <w:bookmarkEnd w:id="215"/>
    </w:p>
    <w:p w:rsidR="009A283D" w:rsidRDefault="009A283D" w:rsidP="009A283D">
      <w:pPr>
        <w:pStyle w:val="BodyParagraph"/>
      </w:pPr>
      <w:r>
        <w:t xml:space="preserve">As discussed in Section 3, the </w:t>
      </w:r>
      <w:proofErr w:type="spellStart"/>
      <w:r>
        <w:t>ex ante</w:t>
      </w:r>
      <w:proofErr w:type="spellEnd"/>
      <w:r>
        <w:t xml:space="preserve"> load impact estimates for large C&amp;I customers are based on a regression model that relates impacts to weather conditions using the ex post impacts and weather to estimate model coefficients</w:t>
      </w:r>
      <w:proofErr w:type="gramStart"/>
      <w:r>
        <w:t xml:space="preserve">.  </w:t>
      </w:r>
      <w:proofErr w:type="gramEnd"/>
      <w:r>
        <w:t xml:space="preserve">The model is based on ex post data from both 2013 and 2014 for the group of persistent customers who were enrolled in all 2013 and 2014 event days.    </w:t>
      </w:r>
    </w:p>
    <w:p w:rsidR="009A283D" w:rsidRDefault="009A283D" w:rsidP="009A283D">
      <w:pPr>
        <w:pStyle w:val="BodyParagraph"/>
      </w:pPr>
      <w:r>
        <w:t>The persistent customer population is a subset of the 2014 CPP population</w:t>
      </w:r>
      <w:proofErr w:type="gramStart"/>
      <w:r>
        <w:t xml:space="preserve">.  </w:t>
      </w:r>
      <w:proofErr w:type="gramEnd"/>
      <w:r>
        <w:t>As such, they deliver different load impacts</w:t>
      </w:r>
      <w:proofErr w:type="gramStart"/>
      <w:r>
        <w:t xml:space="preserve">.  </w:t>
      </w:r>
      <w:proofErr w:type="gramEnd"/>
      <w:r>
        <w:t xml:space="preserve">Their load impacts are used for ex ante modeling, so in order to demonstrate how ex ante load impacts are derived from ex post </w:t>
      </w:r>
      <w:proofErr w:type="gramStart"/>
      <w:r>
        <w:t>impacts,</w:t>
      </w:r>
      <w:proofErr w:type="gramEnd"/>
      <w:r>
        <w:t xml:space="preserve"> we address</w:t>
      </w:r>
      <w:r w:rsidR="008C10ED">
        <w:t>ed</w:t>
      </w:r>
      <w:r>
        <w:t xml:space="preserve"> the difference in impacts</w:t>
      </w:r>
      <w:r w:rsidR="00933CBF">
        <w:t xml:space="preserve"> below</w:t>
      </w:r>
      <w:r>
        <w:t>.</w:t>
      </w:r>
    </w:p>
    <w:p w:rsidR="009A283D" w:rsidRDefault="009A283D" w:rsidP="009A283D">
      <w:pPr>
        <w:pStyle w:val="BodyParagraph"/>
      </w:pPr>
      <w:r>
        <w:t>Table 7-1 shows the ex post load impact estimates for each event day and for the average event day in 2013 and 2014 for large, persistent customers</w:t>
      </w:r>
      <w:proofErr w:type="gramStart"/>
      <w:r>
        <w:t xml:space="preserve">.  </w:t>
      </w:r>
      <w:proofErr w:type="gramEnd"/>
      <w:r>
        <w:t>The participant-weighted average temperature during the event period ranged from a low of 80.8</w:t>
      </w:r>
      <w:r>
        <w:rPr>
          <w:rFonts w:cs="Arial"/>
        </w:rPr>
        <w:t>°</w:t>
      </w:r>
      <w:r>
        <w:t>F to a high of 96.5</w:t>
      </w:r>
      <w:r>
        <w:rPr>
          <w:rFonts w:cs="Arial"/>
        </w:rPr>
        <w:t>°</w:t>
      </w:r>
      <w:r>
        <w:t>F</w:t>
      </w:r>
      <w:proofErr w:type="gramStart"/>
      <w:r>
        <w:t xml:space="preserve">.  </w:t>
      </w:r>
      <w:proofErr w:type="gramEnd"/>
      <w:r>
        <w:t>Percent impacts range</w:t>
      </w:r>
      <w:r w:rsidR="008C10ED">
        <w:t>d</w:t>
      </w:r>
      <w:r>
        <w:t xml:space="preserve"> from 3.4% to 7.8%; average impacts range</w:t>
      </w:r>
      <w:r w:rsidR="008C10ED">
        <w:t>d</w:t>
      </w:r>
      <w:r>
        <w:t xml:space="preserve"> from 7.7 kW to 17.0 kW; and aggregate impacts range</w:t>
      </w:r>
      <w:r w:rsidR="008C10ED">
        <w:t>d</w:t>
      </w:r>
      <w:r>
        <w:t xml:space="preserve"> from 15.9 MW to 35.3 MW</w:t>
      </w:r>
      <w:proofErr w:type="gramStart"/>
      <w:r>
        <w:t xml:space="preserve">.  </w:t>
      </w:r>
      <w:proofErr w:type="gramEnd"/>
      <w:r>
        <w:br w:type="page"/>
      </w:r>
    </w:p>
    <w:p w:rsidR="009A283D" w:rsidRDefault="009A283D" w:rsidP="009A283D">
      <w:pPr>
        <w:pStyle w:val="TableFigureCaption"/>
      </w:pPr>
      <w:r>
        <w:lastRenderedPageBreak/>
        <w:t>Table 7</w:t>
      </w:r>
      <w:r w:rsidRPr="00627B26">
        <w:t xml:space="preserve">-1: </w:t>
      </w:r>
      <w:r>
        <w:t xml:space="preserve">Default CPP Ex Post Load Impact Estimates for </w:t>
      </w:r>
      <w:r>
        <w:br/>
        <w:t>Persistent Customers by Event Day</w:t>
      </w:r>
      <w:r>
        <w:br/>
        <w:t>SC</w:t>
      </w:r>
      <w:r w:rsidRPr="00627B26">
        <w:t xml:space="preserve">E </w:t>
      </w:r>
      <w:r>
        <w:t xml:space="preserve">2013, 2014 </w:t>
      </w:r>
      <w:r w:rsidRPr="00627B26">
        <w:t>CPP Events</w:t>
      </w:r>
      <w:r>
        <w:t xml:space="preserve"> (2 to 6 PM)</w:t>
      </w:r>
    </w:p>
    <w:tbl>
      <w:tblPr>
        <w:tblW w:w="11026" w:type="dxa"/>
        <w:jc w:val="center"/>
        <w:tblInd w:w="93" w:type="dxa"/>
        <w:tblLook w:val="04A0" w:firstRow="1" w:lastRow="0" w:firstColumn="1" w:lastColumn="0" w:noHBand="0" w:noVBand="1"/>
      </w:tblPr>
      <w:tblGrid>
        <w:gridCol w:w="1017"/>
        <w:gridCol w:w="789"/>
        <w:gridCol w:w="1037"/>
        <w:gridCol w:w="1576"/>
        <w:gridCol w:w="1274"/>
        <w:gridCol w:w="926"/>
        <w:gridCol w:w="1107"/>
        <w:gridCol w:w="1100"/>
        <w:gridCol w:w="1100"/>
        <w:gridCol w:w="1100"/>
      </w:tblGrid>
      <w:tr w:rsidR="009A283D" w:rsidRPr="00223E74" w:rsidTr="00F0706F">
        <w:trPr>
          <w:trHeight w:val="737"/>
          <w:jc w:val="center"/>
        </w:trPr>
        <w:tc>
          <w:tcPr>
            <w:tcW w:w="101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Event Date</w:t>
            </w:r>
          </w:p>
        </w:tc>
        <w:tc>
          <w:tcPr>
            <w:tcW w:w="789"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Accounts</w:t>
            </w:r>
          </w:p>
        </w:tc>
        <w:tc>
          <w:tcPr>
            <w:tcW w:w="1576"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Avg. Customer Reference Load</w:t>
            </w:r>
          </w:p>
        </w:tc>
        <w:tc>
          <w:tcPr>
            <w:tcW w:w="1274"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Avg. Customer Load w/ DR</w:t>
            </w:r>
          </w:p>
        </w:tc>
        <w:tc>
          <w:tcPr>
            <w:tcW w:w="926"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Impact</w:t>
            </w:r>
          </w:p>
        </w:tc>
        <w:tc>
          <w:tcPr>
            <w:tcW w:w="1107"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Aggregate Impact</w:t>
            </w:r>
          </w:p>
        </w:tc>
        <w:tc>
          <w:tcPr>
            <w:tcW w:w="1100"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 Reduction</w:t>
            </w:r>
          </w:p>
        </w:tc>
        <w:tc>
          <w:tcPr>
            <w:tcW w:w="1100" w:type="dxa"/>
            <w:tcBorders>
              <w:top w:val="single" w:sz="4" w:space="0" w:color="auto"/>
              <w:left w:val="nil"/>
              <w:bottom w:val="single" w:sz="4" w:space="0" w:color="FFFFFF"/>
              <w:right w:val="single" w:sz="4" w:space="0" w:color="FFFFFF"/>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Avg. Event Temp.</w:t>
            </w:r>
          </w:p>
        </w:tc>
        <w:tc>
          <w:tcPr>
            <w:tcW w:w="1100" w:type="dxa"/>
            <w:tcBorders>
              <w:top w:val="single" w:sz="4" w:space="0" w:color="auto"/>
              <w:left w:val="nil"/>
              <w:bottom w:val="single" w:sz="4" w:space="0" w:color="FFFFFF"/>
              <w:right w:val="single" w:sz="4" w:space="0" w:color="auto"/>
            </w:tcBorders>
            <w:shd w:val="clear" w:color="000000" w:fill="0070D0"/>
            <w:vAlign w:val="center"/>
            <w:hideMark/>
          </w:tcPr>
          <w:p w:rsidR="009A283D" w:rsidRPr="00F0706F" w:rsidRDefault="009A283D" w:rsidP="006D677D">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Daily Max. Temp.</w:t>
            </w:r>
          </w:p>
        </w:tc>
      </w:tr>
      <w:tr w:rsidR="009A283D" w:rsidRPr="00223E74" w:rsidTr="00F0706F">
        <w:trPr>
          <w:trHeight w:val="255"/>
          <w:jc w:val="center"/>
        </w:trPr>
        <w:tc>
          <w:tcPr>
            <w:tcW w:w="1017" w:type="dxa"/>
            <w:vMerge/>
            <w:tcBorders>
              <w:top w:val="single" w:sz="4" w:space="0" w:color="auto"/>
              <w:left w:val="single" w:sz="4" w:space="0" w:color="auto"/>
              <w:bottom w:val="single" w:sz="4" w:space="0" w:color="000000"/>
              <w:right w:val="single" w:sz="4" w:space="0" w:color="FFFFFF"/>
            </w:tcBorders>
            <w:vAlign w:val="center"/>
            <w:hideMark/>
          </w:tcPr>
          <w:p w:rsidR="009A283D" w:rsidRPr="00F0706F" w:rsidRDefault="009A283D" w:rsidP="006D677D">
            <w:pPr>
              <w:spacing w:after="0" w:line="240" w:lineRule="auto"/>
              <w:rPr>
                <w:rFonts w:ascii="Arial" w:eastAsia="Times New Roman" w:hAnsi="Arial" w:cs="Arial"/>
                <w:b/>
                <w:bCs/>
                <w:color w:val="FFFFFF"/>
                <w:sz w:val="18"/>
                <w:szCs w:val="18"/>
              </w:rPr>
            </w:pPr>
          </w:p>
        </w:tc>
        <w:tc>
          <w:tcPr>
            <w:tcW w:w="789" w:type="dxa"/>
            <w:vMerge/>
            <w:tcBorders>
              <w:top w:val="single" w:sz="4" w:space="0" w:color="auto"/>
              <w:left w:val="single" w:sz="4" w:space="0" w:color="FFFFFF"/>
              <w:bottom w:val="single" w:sz="4" w:space="0" w:color="000000"/>
              <w:right w:val="single" w:sz="4" w:space="0" w:color="FFFFFF"/>
            </w:tcBorders>
            <w:vAlign w:val="center"/>
            <w:hideMark/>
          </w:tcPr>
          <w:p w:rsidR="009A283D" w:rsidRPr="00F0706F" w:rsidRDefault="009A283D" w:rsidP="006D677D">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9A283D" w:rsidRPr="00F0706F" w:rsidRDefault="009A283D" w:rsidP="006D677D">
            <w:pPr>
              <w:spacing w:after="0" w:line="240" w:lineRule="auto"/>
              <w:rPr>
                <w:rFonts w:ascii="Arial" w:eastAsia="Times New Roman" w:hAnsi="Arial" w:cs="Arial"/>
                <w:b/>
                <w:bCs/>
                <w:color w:val="FFFFFF"/>
                <w:sz w:val="18"/>
                <w:szCs w:val="18"/>
              </w:rPr>
            </w:pPr>
          </w:p>
        </w:tc>
        <w:tc>
          <w:tcPr>
            <w:tcW w:w="1576"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1274"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926"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1107"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w:t>
            </w:r>
          </w:p>
        </w:tc>
        <w:tc>
          <w:tcPr>
            <w:tcW w:w="1100"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w:t>
            </w:r>
          </w:p>
        </w:tc>
        <w:tc>
          <w:tcPr>
            <w:tcW w:w="1100" w:type="dxa"/>
            <w:tcBorders>
              <w:top w:val="nil"/>
              <w:left w:val="nil"/>
              <w:bottom w:val="single" w:sz="4" w:space="0" w:color="auto"/>
              <w:right w:val="single" w:sz="4" w:space="0" w:color="FFFFFF"/>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c>
          <w:tcPr>
            <w:tcW w:w="1100" w:type="dxa"/>
            <w:tcBorders>
              <w:top w:val="nil"/>
              <w:left w:val="nil"/>
              <w:bottom w:val="single" w:sz="4" w:space="0" w:color="auto"/>
              <w:right w:val="single" w:sz="4" w:space="0" w:color="auto"/>
            </w:tcBorders>
            <w:shd w:val="clear" w:color="000000" w:fill="0070D0"/>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r>
      <w:tr w:rsidR="009A283D" w:rsidRPr="00223E74" w:rsidTr="00F0706F">
        <w:trPr>
          <w:trHeight w:val="255"/>
          <w:jc w:val="center"/>
        </w:trPr>
        <w:tc>
          <w:tcPr>
            <w:tcW w:w="10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7/1/2013</w:t>
            </w:r>
          </w:p>
        </w:tc>
        <w:tc>
          <w:tcPr>
            <w:tcW w:w="789" w:type="dxa"/>
            <w:tcBorders>
              <w:top w:val="single" w:sz="4" w:space="0" w:color="auto"/>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Mon</w:t>
            </w:r>
          </w:p>
        </w:tc>
        <w:tc>
          <w:tcPr>
            <w:tcW w:w="1037" w:type="dxa"/>
            <w:tcBorders>
              <w:top w:val="single" w:sz="4" w:space="0" w:color="auto"/>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239.1</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231.0</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8.0</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16.7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90.2</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100.4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7/3/2013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224.5</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216.8</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7.7</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15.9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83.2</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100.9</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8/21/2013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247.3</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231.9</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15.4</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31.9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6.2%</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86.5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98.4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8/28/2013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261.2</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245.8</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15.4</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32.0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5.9%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89.5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97.3</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8/30/2013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255.4</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240.0</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15.3</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31.9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6.0%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89.3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94.5</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9/4/2013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267.5</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255.7</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11.8</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91.8</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97.9</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9/6/2013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255.1</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241.6</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13.6</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28.1</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5.3%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92.0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97.7</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9/13/2013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236.4</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226.5</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9.9</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4.2%</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85.0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94.4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9/23/2013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244.4</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227.4</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17.0</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35.3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6.9%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87.0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90.5</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9/30/2013</w:t>
            </w:r>
          </w:p>
        </w:tc>
        <w:tc>
          <w:tcPr>
            <w:tcW w:w="789" w:type="dxa"/>
            <w:tcBorders>
              <w:top w:val="nil"/>
              <w:left w:val="nil"/>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232.8</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216.7</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16.1</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33.4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6.9%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80.7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87.2</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7/8/2014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212.5</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202.5</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10.0</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20.8</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85.5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93.2</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7/14/2014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206.2</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198.5</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7.7</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15.9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80.8</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89.4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7/30/2014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223.8</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207.5</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16.3</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33.8</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7.3%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88.4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94.4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8/4/2014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214.9</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198.1</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16.8</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35.0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7.8%</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83.0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86.8</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8/22/2014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212.9</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202.1</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10.7</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5.0%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82.3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85.9</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8/28/2014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233.8</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222.3</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11.6</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90.1</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95.4</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9/8/2014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223.9</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212.3</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11.5</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5.1%</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83.2</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87.1</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9/11/2014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233.2</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222.8</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10.4</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4.4%</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89.5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94.7</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9/15/2014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246.2</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234.0</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12.2</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25.3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5.0%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96.5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102.2</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9/16/2014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246.5</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236.0</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10.5</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4.3%</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93.5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100.7</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9/22/2014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222.4</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212.5</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10.0</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4.5%</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82.2</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88.1</w:t>
            </w:r>
          </w:p>
        </w:tc>
      </w:tr>
      <w:tr w:rsidR="009A283D" w:rsidRPr="00223E74" w:rsidTr="00F0706F">
        <w:trPr>
          <w:trHeight w:val="255"/>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F0706F" w:rsidRDefault="009A283D" w:rsidP="006D677D">
            <w:pPr>
              <w:spacing w:after="0" w:line="240" w:lineRule="auto"/>
              <w:jc w:val="center"/>
              <w:rPr>
                <w:rFonts w:ascii="Arial" w:eastAsia="Times New Roman" w:hAnsi="Arial" w:cs="Arial"/>
                <w:sz w:val="18"/>
                <w:szCs w:val="18"/>
              </w:rPr>
            </w:pPr>
            <w:r w:rsidRPr="00F0706F">
              <w:rPr>
                <w:rFonts w:ascii="Arial" w:eastAsia="Times New Roman" w:hAnsi="Arial" w:cs="Arial"/>
                <w:sz w:val="18"/>
                <w:szCs w:val="18"/>
              </w:rPr>
              <w:t>9/23/2014</w:t>
            </w:r>
          </w:p>
        </w:tc>
        <w:tc>
          <w:tcPr>
            <w:tcW w:w="78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2,076</w:t>
            </w:r>
          </w:p>
        </w:tc>
        <w:tc>
          <w:tcPr>
            <w:tcW w:w="157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228.7</w:t>
            </w:r>
          </w:p>
        </w:tc>
        <w:tc>
          <w:tcPr>
            <w:tcW w:w="127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219.6</w:t>
            </w:r>
          </w:p>
        </w:tc>
        <w:tc>
          <w:tcPr>
            <w:tcW w:w="92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9.1</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18.9</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4.0%</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85.7</w:t>
            </w:r>
          </w:p>
        </w:tc>
        <w:tc>
          <w:tcPr>
            <w:tcW w:w="110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color w:val="000000"/>
                <w:sz w:val="18"/>
                <w:szCs w:val="18"/>
              </w:rPr>
            </w:pPr>
            <w:r w:rsidRPr="00F0706F">
              <w:rPr>
                <w:rFonts w:ascii="Arial" w:eastAsia="Times New Roman" w:hAnsi="Arial" w:cs="Arial"/>
                <w:color w:val="000000"/>
                <w:sz w:val="18"/>
                <w:szCs w:val="18"/>
              </w:rPr>
              <w:t>91.9</w:t>
            </w:r>
          </w:p>
        </w:tc>
      </w:tr>
    </w:tbl>
    <w:p w:rsidR="009A283D" w:rsidRDefault="009A283D" w:rsidP="009A283D">
      <w:pPr>
        <w:pStyle w:val="BodyParaAfterTableFigure"/>
      </w:pPr>
      <w:r w:rsidRPr="00211B4A">
        <w:t xml:space="preserve">Figure </w:t>
      </w:r>
      <w:r>
        <w:t xml:space="preserve">7-1 presents the ex post </w:t>
      </w:r>
      <w:r w:rsidRPr="00211B4A">
        <w:t>load impact</w:t>
      </w:r>
      <w:r>
        <w:t xml:space="preserve"> estimates</w:t>
      </w:r>
      <w:r w:rsidRPr="00211B4A">
        <w:t xml:space="preserve"> for </w:t>
      </w:r>
      <w:r>
        <w:t>the persistent customers alongside those for all ex</w:t>
      </w:r>
      <w:r w:rsidR="008C10ED">
        <w:t xml:space="preserve"> </w:t>
      </w:r>
      <w:r>
        <w:t>post customers</w:t>
      </w:r>
      <w:proofErr w:type="gramStart"/>
      <w:r>
        <w:t xml:space="preserve">. </w:t>
      </w:r>
      <w:r w:rsidR="008C10ED">
        <w:t xml:space="preserve"> </w:t>
      </w:r>
      <w:proofErr w:type="gramEnd"/>
      <w:r>
        <w:t>The impacts are plotted as a function of temperature and the linear fit is displayed for each customer group</w:t>
      </w:r>
      <w:proofErr w:type="gramStart"/>
      <w:r>
        <w:t xml:space="preserve">. </w:t>
      </w:r>
      <w:r w:rsidR="008C10ED">
        <w:t xml:space="preserve"> </w:t>
      </w:r>
      <w:proofErr w:type="gramEnd"/>
      <w:r>
        <w:t xml:space="preserve">Note that the impacts for persistent customers are slightly lower, but exhibit a similar relationship with temperature. </w:t>
      </w:r>
    </w:p>
    <w:p w:rsidR="009A283D" w:rsidRPr="00C61A46" w:rsidRDefault="009A283D" w:rsidP="009A283D">
      <w:pPr>
        <w:pStyle w:val="TableFigureCaption"/>
      </w:pPr>
      <w:r>
        <w:lastRenderedPageBreak/>
        <w:t>Figure 7</w:t>
      </w:r>
      <w:r w:rsidRPr="00FF77C1">
        <w:t>-</w:t>
      </w:r>
      <w:r>
        <w:t>1: Comparison of 2013–2014 CPP Load Impacts for Persistent</w:t>
      </w:r>
      <w:r w:rsidRPr="00FF77C1">
        <w:t xml:space="preserve"> </w:t>
      </w:r>
      <w:r>
        <w:br/>
        <w:t>and All Ex Post Customers vs. Temperature</w:t>
      </w:r>
    </w:p>
    <w:p w:rsidR="009A283D" w:rsidRDefault="009A283D" w:rsidP="009A283D">
      <w:pPr>
        <w:pStyle w:val="BodyParagraph"/>
        <w:jc w:val="center"/>
      </w:pPr>
      <w:r>
        <w:rPr>
          <w:noProof/>
        </w:rPr>
        <w:drawing>
          <wp:inline distT="0" distB="0" distL="0" distR="0" wp14:anchorId="6A475363" wp14:editId="4D56E8DC">
            <wp:extent cx="5943600" cy="4320540"/>
            <wp:effectExtent l="0" t="0" r="0" b="0"/>
            <wp:docPr id="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Pr="00476F85" w:rsidRDefault="009A283D" w:rsidP="009A283D">
      <w:pPr>
        <w:pStyle w:val="BodyParaAfterTableFigure"/>
      </w:pPr>
      <w:r>
        <w:t>Figure 7-2 compares loads for all ex post customers during non-event days in 2014 to the reference loads for the large ex ante customers</w:t>
      </w:r>
      <w:proofErr w:type="gramStart"/>
      <w:r>
        <w:t xml:space="preserve">.  </w:t>
      </w:r>
      <w:proofErr w:type="gramEnd"/>
      <w:r>
        <w:t xml:space="preserve">The </w:t>
      </w:r>
      <w:proofErr w:type="spellStart"/>
      <w:r>
        <w:t>ex ante</w:t>
      </w:r>
      <w:proofErr w:type="spellEnd"/>
      <w:r>
        <w:t xml:space="preserve"> customers are the large customers with a full year of interval data identified as enrolled at the end of summer 2014, which are used for reference load modeling to provide an up to date picture of customers enrolled on CPP</w:t>
      </w:r>
      <w:proofErr w:type="gramStart"/>
      <w:r>
        <w:t xml:space="preserve">. </w:t>
      </w:r>
      <w:r w:rsidR="008C10ED">
        <w:t xml:space="preserve"> </w:t>
      </w:r>
      <w:proofErr w:type="gramEnd"/>
      <w:r>
        <w:t>The reference loads from non-event days in May t</w:t>
      </w:r>
      <w:r w:rsidR="008C10ED">
        <w:t>hrough</w:t>
      </w:r>
      <w:r>
        <w:t xml:space="preserve"> October are included in the graph (</w:t>
      </w:r>
      <w:r w:rsidR="008C10ED">
        <w:t>w</w:t>
      </w:r>
      <w:r>
        <w:t>eekends and holidays are also excluded)</w:t>
      </w:r>
      <w:proofErr w:type="gramStart"/>
      <w:r>
        <w:t xml:space="preserve">.  </w:t>
      </w:r>
      <w:proofErr w:type="gramEnd"/>
      <w:r>
        <w:t>The average reference load  of ex ante customers is similar to that of the ex post customers for the same days and weather conditions</w:t>
      </w:r>
      <w:proofErr w:type="gramStart"/>
      <w:r>
        <w:t xml:space="preserve">.  </w:t>
      </w:r>
      <w:proofErr w:type="gramEnd"/>
      <w:r>
        <w:t>The reference loads for ex ante customers show a slightly stronger relationship with temperature than those for all ex post customers.</w:t>
      </w:r>
    </w:p>
    <w:p w:rsidR="009A283D" w:rsidRDefault="009A283D" w:rsidP="009A283D">
      <w:pPr>
        <w:pStyle w:val="TableFigureCaption"/>
      </w:pPr>
      <w:r>
        <w:lastRenderedPageBreak/>
        <w:t>Figure 7</w:t>
      </w:r>
      <w:r w:rsidRPr="00FF77C1">
        <w:t>-</w:t>
      </w:r>
      <w:r>
        <w:t xml:space="preserve">2: Comparison of Reference Loads on Non-event Days for Ex Ante Customers to All </w:t>
      </w:r>
      <w:proofErr w:type="gramStart"/>
      <w:r>
        <w:t>Ex</w:t>
      </w:r>
      <w:proofErr w:type="gramEnd"/>
      <w:r>
        <w:t xml:space="preserve"> Post Customers’ Reference Loads</w:t>
      </w:r>
    </w:p>
    <w:p w:rsidR="009A283D" w:rsidRDefault="009A283D" w:rsidP="009A283D">
      <w:pPr>
        <w:pStyle w:val="BodyParagraph"/>
        <w:jc w:val="center"/>
      </w:pPr>
      <w:r>
        <w:rPr>
          <w:noProof/>
        </w:rPr>
        <w:drawing>
          <wp:inline distT="0" distB="0" distL="0" distR="0" wp14:anchorId="1A302F58" wp14:editId="4594FA44">
            <wp:extent cx="5943600" cy="4320540"/>
            <wp:effectExtent l="0" t="0" r="0" b="0"/>
            <wp:docPr id="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Default="009A283D" w:rsidP="009A283D">
      <w:pPr>
        <w:pStyle w:val="BodyParaAfterTableFigure"/>
      </w:pPr>
      <w:r>
        <w:t>Figure 7-3 illustrates the historical 2013 to 2014 percent reductions (blue squares) as a function of temperature for each transmission planning area</w:t>
      </w:r>
      <w:proofErr w:type="gramStart"/>
      <w:r>
        <w:t xml:space="preserve">.  </w:t>
      </w:r>
      <w:proofErr w:type="gramEnd"/>
      <w:r>
        <w:t>It also includes the percent demand reductions estimated under 1</w:t>
      </w:r>
      <w:r>
        <w:noBreakHyphen/>
        <w:t>in-2 and 1</w:t>
      </w:r>
      <w:r>
        <w:noBreakHyphen/>
        <w:t>in</w:t>
      </w:r>
      <w:r>
        <w:noBreakHyphen/>
        <w:t>10 year weather conditions (green squares) for the</w:t>
      </w:r>
      <w:r w:rsidR="00F66790">
        <w:t> </w:t>
      </w:r>
      <w:r>
        <w:t>months of May t</w:t>
      </w:r>
      <w:r w:rsidR="00F66790">
        <w:t>hr</w:t>
      </w:r>
      <w:r>
        <w:t>o</w:t>
      </w:r>
      <w:r w:rsidR="00F66790">
        <w:t>ugh</w:t>
      </w:r>
      <w:r>
        <w:t xml:space="preserve"> October based on the SCE weather scenarios (not the CAISO weather)</w:t>
      </w:r>
      <w:proofErr w:type="gramStart"/>
      <w:r>
        <w:t xml:space="preserve">.  </w:t>
      </w:r>
      <w:proofErr w:type="gramEnd"/>
      <w:r>
        <w:t>These percent demand reduction estimates were applied to large customers</w:t>
      </w:r>
      <w:proofErr w:type="gramStart"/>
      <w:r>
        <w:t xml:space="preserve">.  </w:t>
      </w:r>
      <w:proofErr w:type="gramEnd"/>
      <w:r>
        <w:t>All</w:t>
      </w:r>
      <w:r w:rsidR="00F66790">
        <w:t> </w:t>
      </w:r>
      <w:r>
        <w:t>transmission planning areas deliver slightly lower percentage load reductions with higher temperatures; this result may be the result of random noise or that load impacts are not related to temperature.</w:t>
      </w:r>
    </w:p>
    <w:p w:rsidR="009A283D" w:rsidRPr="004326B4" w:rsidRDefault="009A283D" w:rsidP="009A283D">
      <w:pPr>
        <w:pStyle w:val="BodyParagraph"/>
        <w:sectPr w:rsidR="009A283D" w:rsidRPr="004326B4" w:rsidSect="003B398F">
          <w:headerReference w:type="default" r:id="rId72"/>
          <w:footerReference w:type="default" r:id="rId73"/>
          <w:pgSz w:w="12240" w:h="15840"/>
          <w:pgMar w:top="1440" w:right="1440" w:bottom="1440" w:left="1440" w:header="720" w:footer="720" w:gutter="0"/>
          <w:cols w:space="720"/>
          <w:docGrid w:linePitch="360"/>
        </w:sectPr>
      </w:pPr>
      <w:r>
        <w:t xml:space="preserve">Figure 7-4 compares the customer </w:t>
      </w:r>
      <w:r w:rsidR="006D677D">
        <w:t xml:space="preserve">reference </w:t>
      </w:r>
      <w:r>
        <w:t xml:space="preserve">loads during non-event days to the </w:t>
      </w:r>
      <w:proofErr w:type="spellStart"/>
      <w:r>
        <w:t>ex ante</w:t>
      </w:r>
      <w:proofErr w:type="spellEnd"/>
      <w:r>
        <w:t xml:space="preserve"> reference loads</w:t>
      </w:r>
      <w:proofErr w:type="gramStart"/>
      <w:r>
        <w:t xml:space="preserve">.  </w:t>
      </w:r>
      <w:proofErr w:type="gramEnd"/>
      <w:r>
        <w:t>The 1</w:t>
      </w:r>
      <w:r>
        <w:noBreakHyphen/>
        <w:t>in</w:t>
      </w:r>
      <w:r>
        <w:noBreakHyphen/>
        <w:t>2 and 1-in-10 reference loads from May t</w:t>
      </w:r>
      <w:r w:rsidR="00F66790">
        <w:t>hr</w:t>
      </w:r>
      <w:r>
        <w:t>o</w:t>
      </w:r>
      <w:r w:rsidR="00F66790">
        <w:t>ugh</w:t>
      </w:r>
      <w:r>
        <w:t xml:space="preserve"> October are included in the graph</w:t>
      </w:r>
      <w:proofErr w:type="gramStart"/>
      <w:r>
        <w:t xml:space="preserve">.  </w:t>
      </w:r>
      <w:proofErr w:type="gramEnd"/>
      <w:r>
        <w:t xml:space="preserve">The </w:t>
      </w:r>
      <w:proofErr w:type="spellStart"/>
      <w:r>
        <w:t>ex ante</w:t>
      </w:r>
      <w:proofErr w:type="spellEnd"/>
      <w:r>
        <w:t xml:space="preserve"> reference loads follow the weather trend</w:t>
      </w:r>
      <w:r w:rsidR="00F66790">
        <w:t>s</w:t>
      </w:r>
      <w:r>
        <w:t xml:space="preserve"> observed within each transmission planning area during non-event days</w:t>
      </w:r>
      <w:proofErr w:type="gramStart"/>
      <w:r>
        <w:t>.</w:t>
      </w:r>
      <w:r w:rsidR="008F5FB2">
        <w:t xml:space="preserve"> </w:t>
      </w:r>
      <w:r>
        <w:t xml:space="preserve"> </w:t>
      </w:r>
      <w:proofErr w:type="gramEnd"/>
      <w:r>
        <w:t>In assessing the effect on aggregate demand reductions, it is important to factor in both how loads and percent demand reductions vary with weather</w:t>
      </w:r>
      <w:proofErr w:type="gramStart"/>
      <w:r>
        <w:t xml:space="preserve">.  </w:t>
      </w:r>
      <w:proofErr w:type="gramEnd"/>
      <w:r>
        <w:t>For example, in the Orange County transmission planning area, loads tend to increase with hotter weather</w:t>
      </w:r>
      <w:proofErr w:type="gramStart"/>
      <w:r>
        <w:t>.</w:t>
      </w:r>
      <w:r w:rsidR="00F66790">
        <w:t xml:space="preserve"> </w:t>
      </w:r>
      <w:r>
        <w:t xml:space="preserve"> </w:t>
      </w:r>
      <w:proofErr w:type="gramEnd"/>
      <w:r>
        <w:t>However, the percent demand reductions tend to decrease with hotter weather and have more influence on the aggregate load reductions.</w:t>
      </w:r>
    </w:p>
    <w:p w:rsidR="009A283D" w:rsidRDefault="009A283D" w:rsidP="009A283D">
      <w:pPr>
        <w:pStyle w:val="TableFigureCaption"/>
      </w:pPr>
      <w:r>
        <w:lastRenderedPageBreak/>
        <w:t>Figure 7</w:t>
      </w:r>
      <w:r w:rsidRPr="00FF77C1">
        <w:t>-</w:t>
      </w:r>
      <w:r>
        <w:t xml:space="preserve">3: Comparison of 2013–2014 CPP Load Impacts </w:t>
      </w:r>
      <w:r w:rsidR="006D677D">
        <w:t xml:space="preserve">and </w:t>
      </w:r>
      <w:r>
        <w:t>Summer Ex-</w:t>
      </w:r>
      <w:r w:rsidRPr="00FF77C1">
        <w:t>Ante Load Impacts vs. Temperature by LCA</w:t>
      </w:r>
    </w:p>
    <w:p w:rsidR="009A283D" w:rsidRDefault="009A283D" w:rsidP="009A283D">
      <w:pPr>
        <w:pStyle w:val="BodyParagraph"/>
        <w:jc w:val="center"/>
        <w:rPr>
          <w:noProof/>
        </w:rPr>
      </w:pPr>
      <w:r>
        <w:rPr>
          <w:noProof/>
        </w:rPr>
        <w:drawing>
          <wp:inline distT="0" distB="0" distL="0" distR="0" wp14:anchorId="7F51DE7D" wp14:editId="02D14ECF">
            <wp:extent cx="7273431" cy="5287224"/>
            <wp:effectExtent l="0" t="0" r="0"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281522" cy="5293106"/>
                    </a:xfrm>
                    <a:prstGeom prst="rect">
                      <a:avLst/>
                    </a:prstGeom>
                    <a:noFill/>
                    <a:extLst/>
                  </pic:spPr>
                </pic:pic>
              </a:graphicData>
            </a:graphic>
          </wp:inline>
        </w:drawing>
      </w:r>
    </w:p>
    <w:p w:rsidR="009A283D" w:rsidRDefault="009A283D" w:rsidP="009A283D">
      <w:pPr>
        <w:pStyle w:val="TableFigureCaption"/>
      </w:pPr>
      <w:r w:rsidRPr="00FF77C1">
        <w:lastRenderedPageBreak/>
        <w:t>Fig</w:t>
      </w:r>
      <w:r>
        <w:t>ure 7</w:t>
      </w:r>
      <w:r w:rsidRPr="00FF77C1">
        <w:t>-</w:t>
      </w:r>
      <w:r>
        <w:t>4</w:t>
      </w:r>
      <w:r w:rsidRPr="00FF77C1">
        <w:t xml:space="preserve">: Comparison of </w:t>
      </w:r>
      <w:r>
        <w:t xml:space="preserve">Ex Post Loads on Non-event Days to Ex-Ante Reference Loads for Large </w:t>
      </w:r>
      <w:proofErr w:type="gramStart"/>
      <w:r>
        <w:t>C&amp;I</w:t>
      </w:r>
      <w:proofErr w:type="gramEnd"/>
    </w:p>
    <w:p w:rsidR="009A283D" w:rsidRDefault="009A283D" w:rsidP="009A283D">
      <w:pPr>
        <w:pStyle w:val="BodyParagraph"/>
        <w:jc w:val="center"/>
        <w:rPr>
          <w:noProof/>
        </w:rPr>
      </w:pPr>
      <w:r>
        <w:rPr>
          <w:noProof/>
        </w:rPr>
        <w:drawing>
          <wp:inline distT="0" distB="0" distL="0" distR="0" wp14:anchorId="32C9162B" wp14:editId="67644796">
            <wp:extent cx="7298338" cy="5305331"/>
            <wp:effectExtent l="0" t="0" r="0" b="0"/>
            <wp:docPr id="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301830" cy="5307869"/>
                    </a:xfrm>
                    <a:prstGeom prst="rect">
                      <a:avLst/>
                    </a:prstGeom>
                    <a:noFill/>
                    <a:extLst/>
                  </pic:spPr>
                </pic:pic>
              </a:graphicData>
            </a:graphic>
          </wp:inline>
        </w:drawing>
      </w:r>
    </w:p>
    <w:p w:rsidR="009A283D" w:rsidRDefault="009A283D" w:rsidP="009A283D">
      <w:pPr>
        <w:pStyle w:val="BodyParaAfterTableFigure"/>
        <w:sectPr w:rsidR="009A283D" w:rsidSect="003B398F">
          <w:footerReference w:type="default" r:id="rId76"/>
          <w:pgSz w:w="15840" w:h="12240" w:orient="landscape"/>
          <w:pgMar w:top="1440" w:right="1440" w:bottom="1440" w:left="1440" w:header="720" w:footer="720" w:gutter="0"/>
          <w:cols w:space="720"/>
          <w:docGrid w:linePitch="360"/>
        </w:sectPr>
      </w:pPr>
    </w:p>
    <w:p w:rsidR="009A283D" w:rsidRPr="004326B4" w:rsidRDefault="009A283D" w:rsidP="009A283D">
      <w:pPr>
        <w:pStyle w:val="BodyParagraph"/>
        <w:rPr>
          <w:color w:val="auto"/>
        </w:rPr>
      </w:pPr>
      <w:r>
        <w:lastRenderedPageBreak/>
        <w:t>Table 7-2 shows SCE’s enrollment projections for large C&amp;I CPP customers through 2025</w:t>
      </w:r>
      <w:proofErr w:type="gramStart"/>
      <w:r>
        <w:t xml:space="preserve">.  </w:t>
      </w:r>
      <w:proofErr w:type="gramEnd"/>
      <w:r>
        <w:rPr>
          <w:color w:val="auto"/>
        </w:rPr>
        <w:t xml:space="preserve">SCE </w:t>
      </w:r>
      <w:r w:rsidRPr="004326B4">
        <w:rPr>
          <w:color w:val="auto"/>
        </w:rPr>
        <w:t xml:space="preserve">projects that large C&amp;I CPP enrollment will grow </w:t>
      </w:r>
      <w:r>
        <w:rPr>
          <w:color w:val="auto"/>
        </w:rPr>
        <w:t xml:space="preserve">by 3.2% per year to approximately </w:t>
      </w:r>
      <w:r w:rsidR="002A6331" w:rsidRPr="002A6331">
        <w:rPr>
          <w:color w:val="auto"/>
        </w:rPr>
        <w:t>3,534</w:t>
      </w:r>
      <w:r w:rsidR="002A6331">
        <w:rPr>
          <w:color w:val="auto"/>
        </w:rPr>
        <w:t xml:space="preserve"> customers</w:t>
      </w:r>
      <w:r>
        <w:rPr>
          <w:color w:val="auto"/>
        </w:rPr>
        <w:t xml:space="preserve"> by Decemb</w:t>
      </w:r>
      <w:r w:rsidR="0005782C">
        <w:rPr>
          <w:color w:val="auto"/>
        </w:rPr>
        <w:t>er 2025</w:t>
      </w:r>
      <w:r>
        <w:rPr>
          <w:color w:val="auto"/>
        </w:rPr>
        <w:t>.</w:t>
      </w:r>
    </w:p>
    <w:p w:rsidR="009A283D" w:rsidRDefault="009A283D" w:rsidP="009A283D">
      <w:pPr>
        <w:pStyle w:val="TableFigureCaption"/>
      </w:pPr>
      <w:r>
        <w:t>Table 7-2: SCE</w:t>
      </w:r>
      <w:r w:rsidRPr="002E04A0">
        <w:t xml:space="preserve"> Enrollment Projections for Large </w:t>
      </w:r>
      <w:proofErr w:type="gramStart"/>
      <w:r w:rsidRPr="002E04A0">
        <w:t>C&amp;I CPP Customers</w:t>
      </w:r>
      <w:r w:rsidRPr="002E04A0">
        <w:br/>
        <w:t>by</w:t>
      </w:r>
      <w:proofErr w:type="gramEnd"/>
      <w:r w:rsidRPr="002E04A0">
        <w:t xml:space="preserve"> Forecast Year and Month</w:t>
      </w:r>
    </w:p>
    <w:tbl>
      <w:tblPr>
        <w:tblW w:w="9265" w:type="dxa"/>
        <w:tblInd w:w="93" w:type="dxa"/>
        <w:tblLook w:val="04A0" w:firstRow="1" w:lastRow="0" w:firstColumn="1" w:lastColumn="0" w:noHBand="0" w:noVBand="1"/>
      </w:tblPr>
      <w:tblGrid>
        <w:gridCol w:w="661"/>
        <w:gridCol w:w="717"/>
        <w:gridCol w:w="717"/>
        <w:gridCol w:w="717"/>
        <w:gridCol w:w="717"/>
        <w:gridCol w:w="717"/>
        <w:gridCol w:w="717"/>
        <w:gridCol w:w="717"/>
        <w:gridCol w:w="717"/>
        <w:gridCol w:w="717"/>
        <w:gridCol w:w="717"/>
        <w:gridCol w:w="717"/>
        <w:gridCol w:w="717"/>
      </w:tblGrid>
      <w:tr w:rsidR="008028DC" w:rsidRPr="002F40D5" w:rsidTr="002A6331">
        <w:trPr>
          <w:trHeight w:val="359"/>
        </w:trPr>
        <w:tc>
          <w:tcPr>
            <w:tcW w:w="661" w:type="dxa"/>
            <w:tcBorders>
              <w:top w:val="single" w:sz="4" w:space="0" w:color="000000"/>
              <w:left w:val="single" w:sz="4" w:space="0" w:color="000000"/>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Year</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Jan.</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Feb.</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Mar.</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Apr.</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May</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Jun.</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Jul.</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Aug.</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Sep.</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Oct.</w:t>
            </w:r>
          </w:p>
        </w:tc>
        <w:tc>
          <w:tcPr>
            <w:tcW w:w="717"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Nov.</w:t>
            </w:r>
          </w:p>
        </w:tc>
        <w:tc>
          <w:tcPr>
            <w:tcW w:w="717" w:type="dxa"/>
            <w:tcBorders>
              <w:top w:val="single" w:sz="4" w:space="0" w:color="000000"/>
              <w:left w:val="nil"/>
              <w:bottom w:val="single" w:sz="4" w:space="0" w:color="000000"/>
              <w:right w:val="single" w:sz="4" w:space="0" w:color="000000"/>
            </w:tcBorders>
            <w:shd w:val="clear" w:color="000000" w:fill="0070D0"/>
            <w:noWrap/>
            <w:vAlign w:val="center"/>
            <w:hideMark/>
          </w:tcPr>
          <w:p w:rsidR="009A283D" w:rsidRPr="002F40D5" w:rsidRDefault="009A283D" w:rsidP="006D677D">
            <w:pPr>
              <w:spacing w:after="0" w:line="240" w:lineRule="auto"/>
              <w:jc w:val="center"/>
              <w:rPr>
                <w:rFonts w:ascii="Arial" w:eastAsia="Times New Roman" w:hAnsi="Arial" w:cs="Arial"/>
                <w:b/>
                <w:bCs/>
                <w:color w:val="FFFFFF"/>
                <w:sz w:val="20"/>
                <w:szCs w:val="20"/>
              </w:rPr>
            </w:pPr>
            <w:r w:rsidRPr="002F40D5">
              <w:rPr>
                <w:rFonts w:ascii="Arial" w:eastAsia="Times New Roman" w:hAnsi="Arial" w:cs="Arial"/>
                <w:b/>
                <w:bCs/>
                <w:color w:val="FFFFFF"/>
                <w:sz w:val="20"/>
                <w:szCs w:val="20"/>
              </w:rPr>
              <w:t>Dec.</w:t>
            </w:r>
          </w:p>
        </w:tc>
      </w:tr>
      <w:tr w:rsidR="002A6331" w:rsidRPr="002F40D5" w:rsidTr="002A6331">
        <w:trPr>
          <w:trHeight w:val="350"/>
        </w:trPr>
        <w:tc>
          <w:tcPr>
            <w:tcW w:w="661" w:type="dxa"/>
            <w:tcBorders>
              <w:top w:val="nil"/>
              <w:left w:val="single" w:sz="4" w:space="0" w:color="000000"/>
              <w:bottom w:val="single" w:sz="4" w:space="0" w:color="000000"/>
              <w:right w:val="single" w:sz="4" w:space="0" w:color="000000"/>
            </w:tcBorders>
            <w:shd w:val="clear" w:color="auto" w:fill="auto"/>
            <w:noWrap/>
            <w:vAlign w:val="center"/>
            <w:hideMark/>
          </w:tcPr>
          <w:p w:rsidR="002A6331" w:rsidRPr="002F40D5" w:rsidRDefault="002A6331" w:rsidP="006D677D">
            <w:pPr>
              <w:spacing w:after="0" w:line="240" w:lineRule="auto"/>
              <w:jc w:val="center"/>
              <w:rPr>
                <w:rFonts w:ascii="Arial" w:eastAsia="Times New Roman" w:hAnsi="Arial" w:cs="Arial"/>
                <w:color w:val="000000"/>
                <w:sz w:val="20"/>
                <w:szCs w:val="20"/>
              </w:rPr>
            </w:pPr>
            <w:r w:rsidRPr="002F40D5">
              <w:rPr>
                <w:rFonts w:ascii="Arial" w:eastAsia="Times New Roman" w:hAnsi="Arial" w:cs="Arial"/>
                <w:color w:val="000000"/>
                <w:sz w:val="20"/>
                <w:szCs w:val="20"/>
              </w:rPr>
              <w:t>2015</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2,539</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2,539</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2,542</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2,546</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2,549</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2,553</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2,556</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2,560</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2,563</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2,567</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2,570</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r>
      <w:tr w:rsidR="002A6331" w:rsidRPr="002F40D5" w:rsidTr="002A6331">
        <w:trPr>
          <w:trHeight w:val="350"/>
        </w:trPr>
        <w:tc>
          <w:tcPr>
            <w:tcW w:w="661" w:type="dxa"/>
            <w:tcBorders>
              <w:top w:val="nil"/>
              <w:left w:val="single" w:sz="4" w:space="0" w:color="000000"/>
              <w:bottom w:val="single" w:sz="4" w:space="0" w:color="000000"/>
              <w:right w:val="single" w:sz="4" w:space="0" w:color="000000"/>
            </w:tcBorders>
            <w:shd w:val="clear" w:color="auto" w:fill="auto"/>
            <w:noWrap/>
            <w:vAlign w:val="center"/>
            <w:hideMark/>
          </w:tcPr>
          <w:p w:rsidR="002A6331" w:rsidRPr="002F40D5" w:rsidRDefault="002A6331" w:rsidP="006D677D">
            <w:pPr>
              <w:spacing w:after="0" w:line="240" w:lineRule="auto"/>
              <w:jc w:val="center"/>
              <w:rPr>
                <w:rFonts w:ascii="Arial" w:eastAsia="Times New Roman" w:hAnsi="Arial" w:cs="Arial"/>
                <w:color w:val="000000"/>
                <w:sz w:val="20"/>
                <w:szCs w:val="20"/>
              </w:rPr>
            </w:pPr>
            <w:r w:rsidRPr="002F40D5">
              <w:rPr>
                <w:rFonts w:ascii="Arial" w:eastAsia="Times New Roman" w:hAnsi="Arial" w:cs="Arial"/>
                <w:color w:val="000000"/>
                <w:sz w:val="20"/>
                <w:szCs w:val="20"/>
              </w:rPr>
              <w:t>2016</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2,574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2,657</w:t>
            </w:r>
          </w:p>
        </w:tc>
      </w:tr>
      <w:tr w:rsidR="002A6331" w:rsidRPr="002F40D5" w:rsidTr="002A6331">
        <w:trPr>
          <w:trHeight w:val="350"/>
        </w:trPr>
        <w:tc>
          <w:tcPr>
            <w:tcW w:w="661" w:type="dxa"/>
            <w:tcBorders>
              <w:top w:val="nil"/>
              <w:left w:val="single" w:sz="4" w:space="0" w:color="000000"/>
              <w:bottom w:val="single" w:sz="4" w:space="0" w:color="000000"/>
              <w:right w:val="single" w:sz="4" w:space="0" w:color="000000"/>
            </w:tcBorders>
            <w:shd w:val="clear" w:color="auto" w:fill="auto"/>
            <w:noWrap/>
            <w:vAlign w:val="center"/>
            <w:hideMark/>
          </w:tcPr>
          <w:p w:rsidR="002A6331" w:rsidRPr="002F40D5" w:rsidRDefault="002A6331" w:rsidP="006D677D">
            <w:pPr>
              <w:spacing w:after="0" w:line="240" w:lineRule="auto"/>
              <w:jc w:val="center"/>
              <w:rPr>
                <w:rFonts w:ascii="Arial" w:eastAsia="Times New Roman" w:hAnsi="Arial" w:cs="Arial"/>
                <w:color w:val="000000"/>
                <w:sz w:val="20"/>
                <w:szCs w:val="20"/>
              </w:rPr>
            </w:pPr>
            <w:r w:rsidRPr="002F40D5">
              <w:rPr>
                <w:rFonts w:ascii="Arial" w:eastAsia="Times New Roman" w:hAnsi="Arial" w:cs="Arial"/>
                <w:color w:val="000000"/>
                <w:sz w:val="20"/>
                <w:szCs w:val="20"/>
              </w:rPr>
              <w:t>2025</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3,424</w:t>
            </w:r>
          </w:p>
        </w:tc>
        <w:tc>
          <w:tcPr>
            <w:tcW w:w="717" w:type="dxa"/>
            <w:tcBorders>
              <w:top w:val="nil"/>
              <w:left w:val="nil"/>
              <w:bottom w:val="single" w:sz="4" w:space="0" w:color="000000"/>
              <w:right w:val="single" w:sz="4" w:space="0" w:color="000000"/>
            </w:tcBorders>
            <w:shd w:val="clear" w:color="auto" w:fill="auto"/>
            <w:noWrap/>
            <w:vAlign w:val="center"/>
            <w:hideMark/>
          </w:tcPr>
          <w:p w:rsidR="002A6331" w:rsidRDefault="002A6331" w:rsidP="002A6331">
            <w:pPr>
              <w:spacing w:before="60" w:after="60"/>
              <w:jc w:val="center"/>
              <w:rPr>
                <w:rFonts w:ascii="Arial" w:hAnsi="Arial" w:cs="Arial"/>
                <w:color w:val="000000"/>
                <w:sz w:val="20"/>
                <w:szCs w:val="20"/>
              </w:rPr>
            </w:pPr>
            <w:r>
              <w:rPr>
                <w:rFonts w:ascii="Arial" w:hAnsi="Arial" w:cs="Arial"/>
                <w:color w:val="000000"/>
                <w:sz w:val="20"/>
                <w:szCs w:val="20"/>
              </w:rPr>
              <w:t>3,534</w:t>
            </w:r>
          </w:p>
        </w:tc>
      </w:tr>
    </w:tbl>
    <w:p w:rsidR="009A283D" w:rsidRDefault="009A283D" w:rsidP="009A283D">
      <w:pPr>
        <w:pStyle w:val="Heading3"/>
        <w:spacing w:before="360"/>
        <w:rPr>
          <w:rFonts w:cs="Calibri"/>
        </w:rPr>
      </w:pPr>
      <w:bookmarkStart w:id="216" w:name="_Toc415494791"/>
      <w:r>
        <w:t xml:space="preserve">Annual </w:t>
      </w:r>
      <w:r w:rsidRPr="00692B07">
        <w:t>System</w:t>
      </w:r>
      <w:r>
        <w:t xml:space="preserve"> Peak Day Impacts</w:t>
      </w:r>
      <w:bookmarkEnd w:id="216"/>
    </w:p>
    <w:p w:rsidR="009A283D" w:rsidRPr="002753D2" w:rsidRDefault="009A283D" w:rsidP="009A283D">
      <w:pPr>
        <w:pStyle w:val="BodyParagraph"/>
      </w:pPr>
      <w:r>
        <w:t>Table 7-3</w:t>
      </w:r>
      <w:r w:rsidRPr="002753D2">
        <w:t xml:space="preserve"> summarizes the aggregate load impact estimates</w:t>
      </w:r>
      <w:r>
        <w:t xml:space="preserve"> for large C&amp;I customers on SCE</w:t>
      </w:r>
      <w:r w:rsidRPr="002753D2">
        <w:t>’s CPP tariff</w:t>
      </w:r>
      <w:r>
        <w:t> </w:t>
      </w:r>
      <w:r w:rsidRPr="002753D2">
        <w:t xml:space="preserve">for each forecast year under both 1-in-2 and 1-in-10 </w:t>
      </w:r>
      <w:r>
        <w:t xml:space="preserve">year </w:t>
      </w:r>
      <w:r w:rsidRPr="002753D2">
        <w:t>weather scenarios</w:t>
      </w:r>
      <w:r>
        <w:t>, based on both SCE and CAISO weather scenarios</w:t>
      </w:r>
      <w:proofErr w:type="gramStart"/>
      <w:r w:rsidRPr="002753D2">
        <w:t xml:space="preserve">.  </w:t>
      </w:r>
      <w:proofErr w:type="gramEnd"/>
      <w:r w:rsidRPr="002753D2">
        <w:t>The table shows the</w:t>
      </w:r>
      <w:r>
        <w:t> </w:t>
      </w:r>
      <w:r w:rsidRPr="002753D2">
        <w:t>average load reduction across the 1 to 6 PM event period for an August monthly system peak day</w:t>
      </w:r>
      <w:proofErr w:type="gramStart"/>
      <w:r w:rsidRPr="002753D2">
        <w:t xml:space="preserve">.  </w:t>
      </w:r>
      <w:proofErr w:type="gramEnd"/>
      <w:r>
        <w:t>Looking first at the aggregate load impacts based on normal, SCE-specific weather, load reductions based on 1-in-2 year SCE weather</w:t>
      </w:r>
      <w:r w:rsidR="008E0B6C">
        <w:t xml:space="preserve"> conditions </w:t>
      </w:r>
      <w:r w:rsidR="00F66790">
        <w:t xml:space="preserve">will </w:t>
      </w:r>
      <w:r w:rsidR="008E0B6C">
        <w:t xml:space="preserve">grow from roughly </w:t>
      </w:r>
      <w:r w:rsidR="002A6331">
        <w:t xml:space="preserve">21 </w:t>
      </w:r>
      <w:r w:rsidR="008E0B6C">
        <w:t xml:space="preserve">MW to almost </w:t>
      </w:r>
      <w:r w:rsidR="002A6331">
        <w:t xml:space="preserve">29 </w:t>
      </w:r>
      <w:r>
        <w:t>MW between 2015 and 2025</w:t>
      </w:r>
      <w:proofErr w:type="gramStart"/>
      <w:r>
        <w:t xml:space="preserve">.  </w:t>
      </w:r>
      <w:proofErr w:type="gramEnd"/>
      <w:r>
        <w:t>Impacts based on 1-in-10 year SCE wea</w:t>
      </w:r>
      <w:r w:rsidR="008E0B6C">
        <w:t>ther conditions equal roughly 2</w:t>
      </w:r>
      <w:r w:rsidR="002A6331">
        <w:t>0</w:t>
      </w:r>
      <w:r w:rsidR="008E0B6C">
        <w:t xml:space="preserve"> MW in 2015 and </w:t>
      </w:r>
      <w:r w:rsidR="00F66790">
        <w:t xml:space="preserve">will </w:t>
      </w:r>
      <w:r w:rsidR="008E0B6C">
        <w:t xml:space="preserve">grow to </w:t>
      </w:r>
      <w:r w:rsidR="002A6331">
        <w:t>27</w:t>
      </w:r>
      <w:r>
        <w:t xml:space="preserve"> MW by 2025</w:t>
      </w:r>
      <w:proofErr w:type="gramStart"/>
      <w:r>
        <w:t xml:space="preserve">. </w:t>
      </w:r>
      <w:r w:rsidR="008E0B6C">
        <w:t xml:space="preserve"> </w:t>
      </w:r>
      <w:proofErr w:type="gramEnd"/>
      <w:r w:rsidR="008E0B6C">
        <w:t>These estimates equal roughly 3.5</w:t>
      </w:r>
      <w:r>
        <w:t>% of the aggregate reference load for large C&amp;I customers</w:t>
      </w:r>
      <w:proofErr w:type="gramStart"/>
      <w:r>
        <w:t xml:space="preserve">.  </w:t>
      </w:r>
      <w:proofErr w:type="gramEnd"/>
      <w:r>
        <w:t>Impact estimates based on CAISO weather conditions are roughly 2% higher than the estimate</w:t>
      </w:r>
      <w:r w:rsidR="002A6331">
        <w:t>s based on SCE weather.</w:t>
      </w:r>
    </w:p>
    <w:p w:rsidR="009A283D" w:rsidRDefault="009A283D" w:rsidP="009A283D">
      <w:pPr>
        <w:rPr>
          <w:rFonts w:ascii="Calibri" w:hAnsi="Calibri"/>
          <w:b/>
        </w:rPr>
      </w:pPr>
      <w:r>
        <w:br w:type="page"/>
      </w:r>
    </w:p>
    <w:p w:rsidR="009A283D" w:rsidRDefault="009A283D" w:rsidP="009A283D">
      <w:pPr>
        <w:pStyle w:val="TableFigureCaption"/>
      </w:pPr>
      <w:r>
        <w:lastRenderedPageBreak/>
        <w:t>Table 7-3</w:t>
      </w:r>
      <w:r w:rsidRPr="002753D2">
        <w:t xml:space="preserve">: Aggregate Default CPP </w:t>
      </w:r>
      <w:proofErr w:type="gramStart"/>
      <w:r w:rsidRPr="002753D2">
        <w:t>Ex</w:t>
      </w:r>
      <w:proofErr w:type="gramEnd"/>
      <w:r w:rsidRPr="002753D2">
        <w:t xml:space="preserve"> Ante Load Impact Estimates by Weather Scenario for Large C</w:t>
      </w:r>
      <w:r w:rsidRPr="00DA0B27">
        <w:t>&amp;I</w:t>
      </w:r>
      <w:r>
        <w:t>, SCE August System Peak Day (</w:t>
      </w:r>
      <w:r w:rsidRPr="00DA0B27">
        <w:t>1</w:t>
      </w:r>
      <w:r w:rsidR="00F66790">
        <w:rPr>
          <w:rFonts w:cs="Arial"/>
        </w:rPr>
        <w:t>–</w:t>
      </w:r>
      <w:r w:rsidRPr="00DA0B27">
        <w:t>6 PM)</w:t>
      </w:r>
    </w:p>
    <w:tbl>
      <w:tblPr>
        <w:tblW w:w="11250" w:type="dxa"/>
        <w:jc w:val="center"/>
        <w:tblInd w:w="93" w:type="dxa"/>
        <w:tblLook w:val="04A0" w:firstRow="1" w:lastRow="0" w:firstColumn="1" w:lastColumn="0" w:noHBand="0" w:noVBand="1"/>
      </w:tblPr>
      <w:tblGrid>
        <w:gridCol w:w="1006"/>
        <w:gridCol w:w="1006"/>
        <w:gridCol w:w="930"/>
        <w:gridCol w:w="1153"/>
        <w:gridCol w:w="1578"/>
        <w:gridCol w:w="1548"/>
        <w:gridCol w:w="1589"/>
        <w:gridCol w:w="1220"/>
        <w:gridCol w:w="1220"/>
      </w:tblGrid>
      <w:tr w:rsidR="00F0706F" w:rsidRPr="008E0B6C" w:rsidTr="00F0706F">
        <w:trPr>
          <w:trHeight w:val="765"/>
          <w:jc w:val="center"/>
        </w:trPr>
        <w:tc>
          <w:tcPr>
            <w:tcW w:w="1006"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Weather Type</w:t>
            </w:r>
          </w:p>
        </w:tc>
        <w:tc>
          <w:tcPr>
            <w:tcW w:w="1006"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Weather Year</w:t>
            </w:r>
          </w:p>
        </w:tc>
        <w:tc>
          <w:tcPr>
            <w:tcW w:w="93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Year</w:t>
            </w:r>
          </w:p>
        </w:tc>
        <w:tc>
          <w:tcPr>
            <w:tcW w:w="1153"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Enrolled Accounts</w:t>
            </w:r>
          </w:p>
        </w:tc>
        <w:tc>
          <w:tcPr>
            <w:tcW w:w="1578" w:type="dxa"/>
            <w:tcBorders>
              <w:top w:val="single" w:sz="4" w:space="0" w:color="auto"/>
              <w:left w:val="nil"/>
              <w:bottom w:val="single" w:sz="4" w:space="0" w:color="FFFFFF"/>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Aggregate Reference Load</w:t>
            </w:r>
          </w:p>
        </w:tc>
        <w:tc>
          <w:tcPr>
            <w:tcW w:w="1548" w:type="dxa"/>
            <w:tcBorders>
              <w:top w:val="single" w:sz="4" w:space="0" w:color="auto"/>
              <w:left w:val="nil"/>
              <w:bottom w:val="single" w:sz="4" w:space="0" w:color="FFFFFF"/>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Aggregate Estimated Load w/ DR</w:t>
            </w:r>
          </w:p>
        </w:tc>
        <w:tc>
          <w:tcPr>
            <w:tcW w:w="1589" w:type="dxa"/>
            <w:tcBorders>
              <w:top w:val="single" w:sz="4" w:space="0" w:color="auto"/>
              <w:left w:val="nil"/>
              <w:bottom w:val="single" w:sz="4" w:space="0" w:color="FFFFFF"/>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Aggregate Load Impact</w:t>
            </w:r>
          </w:p>
        </w:tc>
        <w:tc>
          <w:tcPr>
            <w:tcW w:w="1220" w:type="dxa"/>
            <w:tcBorders>
              <w:top w:val="single" w:sz="4" w:space="0" w:color="auto"/>
              <w:left w:val="nil"/>
              <w:bottom w:val="single" w:sz="4" w:space="0" w:color="FFFFFF"/>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 Load Reduction</w:t>
            </w:r>
          </w:p>
        </w:tc>
        <w:tc>
          <w:tcPr>
            <w:tcW w:w="1220" w:type="dxa"/>
            <w:tcBorders>
              <w:top w:val="single" w:sz="4" w:space="0" w:color="auto"/>
              <w:left w:val="nil"/>
              <w:bottom w:val="single" w:sz="4" w:space="0" w:color="FFFFFF"/>
              <w:right w:val="single" w:sz="4" w:space="0" w:color="auto"/>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Weighted Temp.</w:t>
            </w:r>
          </w:p>
        </w:tc>
      </w:tr>
      <w:tr w:rsidR="00F0706F" w:rsidRPr="008E0B6C" w:rsidTr="00F0706F">
        <w:trPr>
          <w:trHeight w:val="510"/>
          <w:jc w:val="center"/>
        </w:trPr>
        <w:tc>
          <w:tcPr>
            <w:tcW w:w="1006" w:type="dxa"/>
            <w:vMerge/>
            <w:tcBorders>
              <w:top w:val="single" w:sz="4" w:space="0" w:color="auto"/>
              <w:left w:val="single" w:sz="4" w:space="0" w:color="auto"/>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1006" w:type="dxa"/>
            <w:vMerge/>
            <w:tcBorders>
              <w:top w:val="single" w:sz="4" w:space="0" w:color="auto"/>
              <w:left w:val="single" w:sz="4" w:space="0" w:color="FFFFFF"/>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930" w:type="dxa"/>
            <w:vMerge/>
            <w:tcBorders>
              <w:top w:val="single" w:sz="4" w:space="0" w:color="auto"/>
              <w:left w:val="single" w:sz="4" w:space="0" w:color="FFFFFF"/>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1153" w:type="dxa"/>
            <w:vMerge/>
            <w:tcBorders>
              <w:top w:val="single" w:sz="4" w:space="0" w:color="auto"/>
              <w:left w:val="single" w:sz="4" w:space="0" w:color="FFFFFF"/>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1578" w:type="dxa"/>
            <w:tcBorders>
              <w:top w:val="nil"/>
              <w:left w:val="nil"/>
              <w:bottom w:val="single" w:sz="4" w:space="0" w:color="auto"/>
              <w:right w:val="single" w:sz="4" w:space="0" w:color="FFFFFF"/>
            </w:tcBorders>
            <w:shd w:val="clear" w:color="000000" w:fill="0070D0"/>
            <w:vAlign w:val="center"/>
            <w:hideMark/>
          </w:tcPr>
          <w:p w:rsidR="008E0B6C" w:rsidRPr="00F0706F" w:rsidRDefault="008E0B6C" w:rsidP="008E0B6C">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(MW  1</w:t>
            </w:r>
            <w:r w:rsidR="00F66790" w:rsidRPr="00F66790">
              <w:rPr>
                <w:rFonts w:ascii="Arial" w:eastAsia="Times New Roman" w:hAnsi="Arial" w:cs="Arial"/>
                <w:b/>
                <w:color w:val="FFFFFF"/>
                <w:sz w:val="20"/>
                <w:szCs w:val="20"/>
              </w:rPr>
              <w:t>–</w:t>
            </w:r>
            <w:r w:rsidRPr="00F0706F">
              <w:rPr>
                <w:rFonts w:ascii="Arial" w:eastAsia="Times New Roman" w:hAnsi="Arial" w:cs="Arial"/>
                <w:b/>
                <w:color w:val="FFFFFF"/>
                <w:sz w:val="20"/>
                <w:szCs w:val="20"/>
              </w:rPr>
              <w:t>6 PM)</w:t>
            </w:r>
          </w:p>
        </w:tc>
        <w:tc>
          <w:tcPr>
            <w:tcW w:w="1548" w:type="dxa"/>
            <w:tcBorders>
              <w:top w:val="nil"/>
              <w:left w:val="nil"/>
              <w:bottom w:val="single" w:sz="4" w:space="0" w:color="auto"/>
              <w:right w:val="single" w:sz="4" w:space="0" w:color="FFFFFF"/>
            </w:tcBorders>
            <w:shd w:val="clear" w:color="000000" w:fill="0070D0"/>
            <w:vAlign w:val="center"/>
            <w:hideMark/>
          </w:tcPr>
          <w:p w:rsidR="008E0B6C" w:rsidRPr="00F0706F" w:rsidRDefault="008E0B6C" w:rsidP="008E0B6C">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(MW  1</w:t>
            </w:r>
            <w:r w:rsidR="00F66790" w:rsidRPr="00F66790">
              <w:rPr>
                <w:rFonts w:ascii="Arial" w:eastAsia="Times New Roman" w:hAnsi="Arial" w:cs="Arial"/>
                <w:b/>
                <w:color w:val="FFFFFF"/>
                <w:sz w:val="20"/>
                <w:szCs w:val="20"/>
              </w:rPr>
              <w:t>–</w:t>
            </w:r>
            <w:r w:rsidRPr="00F0706F">
              <w:rPr>
                <w:rFonts w:ascii="Arial" w:eastAsia="Times New Roman" w:hAnsi="Arial" w:cs="Arial"/>
                <w:b/>
                <w:color w:val="FFFFFF"/>
                <w:sz w:val="20"/>
                <w:szCs w:val="20"/>
              </w:rPr>
              <w:t>6 PM)</w:t>
            </w:r>
          </w:p>
        </w:tc>
        <w:tc>
          <w:tcPr>
            <w:tcW w:w="1589" w:type="dxa"/>
            <w:tcBorders>
              <w:top w:val="nil"/>
              <w:left w:val="nil"/>
              <w:bottom w:val="single" w:sz="4" w:space="0" w:color="auto"/>
              <w:right w:val="single" w:sz="4" w:space="0" w:color="FFFFFF"/>
            </w:tcBorders>
            <w:shd w:val="clear" w:color="000000" w:fill="0070D0"/>
            <w:vAlign w:val="center"/>
            <w:hideMark/>
          </w:tcPr>
          <w:p w:rsidR="008E0B6C" w:rsidRPr="00F0706F" w:rsidRDefault="008E0B6C" w:rsidP="008E0B6C">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(MW  1</w:t>
            </w:r>
            <w:r w:rsidR="00F66790" w:rsidRPr="00F66790">
              <w:rPr>
                <w:rFonts w:ascii="Arial" w:eastAsia="Times New Roman" w:hAnsi="Arial" w:cs="Arial"/>
                <w:b/>
                <w:color w:val="FFFFFF"/>
                <w:sz w:val="20"/>
                <w:szCs w:val="20"/>
              </w:rPr>
              <w:t>–</w:t>
            </w:r>
            <w:r w:rsidRPr="00F0706F">
              <w:rPr>
                <w:rFonts w:ascii="Arial" w:eastAsia="Times New Roman" w:hAnsi="Arial" w:cs="Arial"/>
                <w:b/>
                <w:color w:val="FFFFFF"/>
                <w:sz w:val="20"/>
                <w:szCs w:val="20"/>
              </w:rPr>
              <w:t>6 PM)</w:t>
            </w:r>
          </w:p>
        </w:tc>
        <w:tc>
          <w:tcPr>
            <w:tcW w:w="1220" w:type="dxa"/>
            <w:tcBorders>
              <w:top w:val="nil"/>
              <w:left w:val="nil"/>
              <w:bottom w:val="single" w:sz="4" w:space="0" w:color="auto"/>
              <w:right w:val="single" w:sz="4" w:space="0" w:color="FFFFFF"/>
            </w:tcBorders>
            <w:shd w:val="clear" w:color="000000" w:fill="0070D0"/>
            <w:vAlign w:val="center"/>
            <w:hideMark/>
          </w:tcPr>
          <w:p w:rsidR="008E0B6C" w:rsidRPr="00F0706F" w:rsidRDefault="008E0B6C" w:rsidP="008E0B6C">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w:t>
            </w:r>
          </w:p>
        </w:tc>
        <w:tc>
          <w:tcPr>
            <w:tcW w:w="1220" w:type="dxa"/>
            <w:tcBorders>
              <w:top w:val="nil"/>
              <w:left w:val="nil"/>
              <w:bottom w:val="single" w:sz="4" w:space="0" w:color="auto"/>
              <w:right w:val="single" w:sz="4" w:space="0" w:color="auto"/>
            </w:tcBorders>
            <w:shd w:val="clear" w:color="000000" w:fill="0070D0"/>
            <w:vAlign w:val="center"/>
            <w:hideMark/>
          </w:tcPr>
          <w:p w:rsidR="008E0B6C" w:rsidRPr="00F0706F" w:rsidRDefault="008E0B6C" w:rsidP="008E0B6C">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(°F)</w:t>
            </w:r>
          </w:p>
        </w:tc>
      </w:tr>
      <w:tr w:rsidR="002A6331" w:rsidRPr="008E0B6C" w:rsidTr="00F0706F">
        <w:trPr>
          <w:trHeight w:val="300"/>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SCE</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1-in-10</w:t>
            </w: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2,560</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619.1</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598.7</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20.3</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3.3%</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95.6</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2,574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622.4</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602.0</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20.5</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3.3%</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95.6</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3,424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827.9</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800.7</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27.2</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3.3%</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95.6</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1-in-2</w:t>
            </w: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2,560</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602.1</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580.8</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21.3</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3.5%</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92.8</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2,574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605.4</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584.0</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21.4</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3.5%</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92.8</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3,424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805.2</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776.7</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28.5</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3.5%</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92.8</w:t>
            </w:r>
          </w:p>
        </w:tc>
      </w:tr>
      <w:tr w:rsidR="002A6331" w:rsidRPr="008E0B6C" w:rsidTr="00F0706F">
        <w:trPr>
          <w:trHeight w:val="255"/>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CAISO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1-in-10</w:t>
            </w: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2,560</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612.3</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591.6</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20.8</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93.9</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2,574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615.7</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594.8</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20.9</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93.9</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3,424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818.9</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791.1</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27.8</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93.9</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1-in-2</w:t>
            </w: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2,560</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595.4</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573.7</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21.7</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3.7%</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92.2</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2,574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598.7</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576.8</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21.9</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3.7%</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92.2</w:t>
            </w:r>
          </w:p>
        </w:tc>
      </w:tr>
      <w:tr w:rsidR="002A6331" w:rsidRPr="008E0B6C" w:rsidTr="00F0706F">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93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153"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3,424</w:t>
            </w:r>
          </w:p>
        </w:tc>
        <w:tc>
          <w:tcPr>
            <w:tcW w:w="157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796.3</w:t>
            </w:r>
          </w:p>
        </w:tc>
        <w:tc>
          <w:tcPr>
            <w:tcW w:w="1548"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767.2</w:t>
            </w:r>
          </w:p>
        </w:tc>
        <w:tc>
          <w:tcPr>
            <w:tcW w:w="1589"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29.1</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3.7%</w:t>
            </w:r>
          </w:p>
        </w:tc>
        <w:tc>
          <w:tcPr>
            <w:tcW w:w="122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92.2</w:t>
            </w:r>
          </w:p>
        </w:tc>
      </w:tr>
    </w:tbl>
    <w:p w:rsidR="009A283D" w:rsidRDefault="009A283D" w:rsidP="009A283D">
      <w:pPr>
        <w:pStyle w:val="Heading3"/>
        <w:spacing w:before="360"/>
      </w:pPr>
      <w:bookmarkStart w:id="217" w:name="_Toc415494792"/>
      <w:r>
        <w:t>Ex Ante Load Impact Uncertainty</w:t>
      </w:r>
      <w:bookmarkEnd w:id="217"/>
      <w:r>
        <w:t xml:space="preserve"> </w:t>
      </w:r>
    </w:p>
    <w:p w:rsidR="009A283D" w:rsidRDefault="009A283D" w:rsidP="009A283D">
      <w:pPr>
        <w:pStyle w:val="BodyParagraph"/>
      </w:pPr>
      <w:r>
        <w:t>Table 7-4</w:t>
      </w:r>
      <w:r w:rsidRPr="00135AA2">
        <w:t xml:space="preserve"> summarizes the statistical uncertainty in the </w:t>
      </w:r>
      <w:proofErr w:type="spellStart"/>
      <w:r w:rsidRPr="00135AA2">
        <w:t>ex ante</w:t>
      </w:r>
      <w:proofErr w:type="spellEnd"/>
      <w:r w:rsidRPr="00135AA2">
        <w:t xml:space="preserve"> annual system peak load impact estimates for large C&amp;I customers that </w:t>
      </w:r>
      <w:r>
        <w:t>are presented in Table 7-3</w:t>
      </w:r>
      <w:proofErr w:type="gramStart"/>
      <w:r w:rsidRPr="00135AA2">
        <w:t xml:space="preserve">.  </w:t>
      </w:r>
      <w:proofErr w:type="gramEnd"/>
      <w:r w:rsidRPr="00135AA2">
        <w:t>Ex ante impacts and the uncertainty in those estimates do not reflect uncertainty in the enrollment forecast</w:t>
      </w:r>
      <w:proofErr w:type="gramStart"/>
      <w:r w:rsidRPr="00135AA2">
        <w:t xml:space="preserve">.  </w:t>
      </w:r>
      <w:proofErr w:type="gramEnd"/>
      <w:r w:rsidRPr="00135AA2">
        <w:t>At first glance, the uncertainty appears large</w:t>
      </w:r>
      <w:proofErr w:type="gramStart"/>
      <w:r w:rsidRPr="00135AA2">
        <w:t xml:space="preserve">.  </w:t>
      </w:r>
      <w:proofErr w:type="gramEnd"/>
      <w:r w:rsidRPr="00135AA2">
        <w:t>For example, in 201</w:t>
      </w:r>
      <w:r>
        <w:t>5</w:t>
      </w:r>
      <w:r w:rsidRPr="00135AA2">
        <w:t xml:space="preserve">, the projected load impacts for </w:t>
      </w:r>
      <w:r>
        <w:t xml:space="preserve">August </w:t>
      </w:r>
      <w:r w:rsidRPr="00135AA2">
        <w:t xml:space="preserve">1-in-2 </w:t>
      </w:r>
      <w:r>
        <w:t xml:space="preserve">year, SCE </w:t>
      </w:r>
      <w:r w:rsidRPr="00135AA2">
        <w:t xml:space="preserve">weather </w:t>
      </w:r>
      <w:r>
        <w:t>have an</w:t>
      </w:r>
      <w:r w:rsidR="008E0B6C">
        <w:t xml:space="preserve"> 80% confidence interval of </w:t>
      </w:r>
      <w:r w:rsidR="002A6331">
        <w:t>11.5 MW to 31.1 MW</w:t>
      </w:r>
      <w:proofErr w:type="gramStart"/>
      <w:r w:rsidR="00112253">
        <w:t>.</w:t>
      </w:r>
      <w:r w:rsidRPr="00135AA2">
        <w:t xml:space="preserve">  </w:t>
      </w:r>
      <w:proofErr w:type="gramEnd"/>
      <w:r>
        <w:t>T</w:t>
      </w:r>
      <w:r w:rsidRPr="00135AA2">
        <w:t xml:space="preserve">he large confidence intervals in the </w:t>
      </w:r>
      <w:proofErr w:type="spellStart"/>
      <w:r w:rsidRPr="00135AA2">
        <w:t>ex ante</w:t>
      </w:r>
      <w:proofErr w:type="spellEnd"/>
      <w:r w:rsidRPr="00135AA2">
        <w:t xml:space="preserve"> forecasts reflect the challenges of accurately estimating small percentage demand reductions and the variability in performance observed across events</w:t>
      </w:r>
      <w:proofErr w:type="gramStart"/>
      <w:r w:rsidRPr="00135AA2">
        <w:t>.</w:t>
      </w:r>
      <w:r>
        <w:t xml:space="preserve">  </w:t>
      </w:r>
      <w:proofErr w:type="gramEnd"/>
      <w:r>
        <w:t>It is harder to accurately estimate a smaller percent change from the variation inherent in day to day loads</w:t>
      </w:r>
      <w:proofErr w:type="gramStart"/>
      <w:r>
        <w:t xml:space="preserve">.  </w:t>
      </w:r>
      <w:proofErr w:type="gramEnd"/>
      <w:r>
        <w:t>Put in percentage terms, the uncertainty seems much smaller, with a</w:t>
      </w:r>
      <w:r w:rsidR="008E0B6C">
        <w:t>n 80% confidence interval of 1.9% to 5.2</w:t>
      </w:r>
      <w:r>
        <w:t>%</w:t>
      </w:r>
      <w:proofErr w:type="gramStart"/>
      <w:r>
        <w:t xml:space="preserve">.  </w:t>
      </w:r>
      <w:proofErr w:type="gramEnd"/>
      <w:r>
        <w:t xml:space="preserve">For this program in particular, small differences in the estimated percent demand reductions can appear to </w:t>
      </w:r>
      <w:r w:rsidR="00B304ED">
        <w:t>be</w:t>
      </w:r>
      <w:r w:rsidR="00F66790">
        <w:t xml:space="preserve"> </w:t>
      </w:r>
      <w:r>
        <w:t>large changes in the estimate MW reductions, if the uncertainty is not considered.</w:t>
      </w:r>
    </w:p>
    <w:p w:rsidR="009A283D" w:rsidRDefault="009A283D" w:rsidP="009A283D">
      <w:pPr>
        <w:rPr>
          <w:rFonts w:ascii="Calibri" w:hAnsi="Calibri"/>
          <w:b/>
        </w:rPr>
      </w:pPr>
      <w:r>
        <w:br w:type="page"/>
      </w:r>
    </w:p>
    <w:p w:rsidR="009A283D" w:rsidRDefault="009A283D" w:rsidP="009A283D">
      <w:pPr>
        <w:pStyle w:val="TableFigureCaption"/>
      </w:pPr>
      <w:r>
        <w:lastRenderedPageBreak/>
        <w:t xml:space="preserve">Table </w:t>
      </w:r>
      <w:r w:rsidR="002972FE">
        <w:t>7</w:t>
      </w:r>
      <w:r>
        <w:t>-4</w:t>
      </w:r>
      <w:r w:rsidRPr="00DA0B27">
        <w:t xml:space="preserve">: Aggregate Default CPP </w:t>
      </w:r>
      <w:proofErr w:type="gramStart"/>
      <w:r w:rsidRPr="00DA0B27">
        <w:t>Ex</w:t>
      </w:r>
      <w:proofErr w:type="gramEnd"/>
      <w:r w:rsidRPr="00DA0B27">
        <w:t xml:space="preserve"> Ante Load Impact Estimates </w:t>
      </w:r>
      <w:r>
        <w:br/>
      </w:r>
      <w:r w:rsidRPr="00DA0B27">
        <w:t>for Large C&amp;I with Uncertainty</w:t>
      </w:r>
      <w:r>
        <w:t>, SCE</w:t>
      </w:r>
      <w:r w:rsidRPr="00DA0B27">
        <w:t xml:space="preserve"> August System Peak Day (MW 1</w:t>
      </w:r>
      <w:r>
        <w:t xml:space="preserve"> to </w:t>
      </w:r>
      <w:r w:rsidRPr="00DA0B27">
        <w:t>6 PM)</w:t>
      </w:r>
    </w:p>
    <w:tbl>
      <w:tblPr>
        <w:tblW w:w="9840" w:type="dxa"/>
        <w:jc w:val="center"/>
        <w:tblInd w:w="93" w:type="dxa"/>
        <w:tblLook w:val="04A0" w:firstRow="1" w:lastRow="0" w:firstColumn="1" w:lastColumn="0" w:noHBand="0" w:noVBand="1"/>
      </w:tblPr>
      <w:tblGrid>
        <w:gridCol w:w="1080"/>
        <w:gridCol w:w="1050"/>
        <w:gridCol w:w="720"/>
        <w:gridCol w:w="1845"/>
        <w:gridCol w:w="970"/>
        <w:gridCol w:w="1100"/>
        <w:gridCol w:w="875"/>
        <w:gridCol w:w="1100"/>
        <w:gridCol w:w="1100"/>
      </w:tblGrid>
      <w:tr w:rsidR="008E0B6C" w:rsidRPr="008E0B6C" w:rsidTr="00F0706F">
        <w:trPr>
          <w:trHeight w:val="1020"/>
          <w:jc w:val="center"/>
        </w:trPr>
        <w:tc>
          <w:tcPr>
            <w:tcW w:w="1080"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Weather Type</w:t>
            </w:r>
          </w:p>
        </w:tc>
        <w:tc>
          <w:tcPr>
            <w:tcW w:w="105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Weather Year</w:t>
            </w:r>
          </w:p>
        </w:tc>
        <w:tc>
          <w:tcPr>
            <w:tcW w:w="72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Year</w:t>
            </w:r>
          </w:p>
        </w:tc>
        <w:tc>
          <w:tcPr>
            <w:tcW w:w="1845" w:type="dxa"/>
            <w:tcBorders>
              <w:top w:val="single" w:sz="4" w:space="0" w:color="auto"/>
              <w:left w:val="nil"/>
              <w:bottom w:val="single" w:sz="4" w:space="0" w:color="FFFFFF"/>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Expected Aggregate Load Impact</w:t>
            </w:r>
          </w:p>
        </w:tc>
        <w:tc>
          <w:tcPr>
            <w:tcW w:w="5145" w:type="dxa"/>
            <w:gridSpan w:val="5"/>
            <w:tcBorders>
              <w:top w:val="single" w:sz="4" w:space="0" w:color="auto"/>
              <w:left w:val="nil"/>
              <w:bottom w:val="single" w:sz="4" w:space="0" w:color="FFFFFF"/>
              <w:right w:val="single" w:sz="4" w:space="0" w:color="000000"/>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Impact Uncertainty</w:t>
            </w:r>
          </w:p>
        </w:tc>
      </w:tr>
      <w:tr w:rsidR="008E0B6C" w:rsidRPr="008E0B6C" w:rsidTr="00F0706F">
        <w:trPr>
          <w:trHeight w:val="510"/>
          <w:jc w:val="center"/>
        </w:trPr>
        <w:tc>
          <w:tcPr>
            <w:tcW w:w="1080" w:type="dxa"/>
            <w:vMerge/>
            <w:tcBorders>
              <w:top w:val="single" w:sz="4" w:space="0" w:color="auto"/>
              <w:left w:val="single" w:sz="4" w:space="0" w:color="auto"/>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1050" w:type="dxa"/>
            <w:vMerge/>
            <w:tcBorders>
              <w:top w:val="single" w:sz="4" w:space="0" w:color="auto"/>
              <w:left w:val="single" w:sz="4" w:space="0" w:color="FFFFFF"/>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720" w:type="dxa"/>
            <w:vMerge/>
            <w:tcBorders>
              <w:top w:val="single" w:sz="4" w:space="0" w:color="auto"/>
              <w:left w:val="single" w:sz="4" w:space="0" w:color="FFFFFF"/>
              <w:bottom w:val="single" w:sz="4" w:space="0" w:color="000000"/>
              <w:right w:val="single" w:sz="4" w:space="0" w:color="FFFFFF"/>
            </w:tcBorders>
            <w:vAlign w:val="center"/>
            <w:hideMark/>
          </w:tcPr>
          <w:p w:rsidR="008E0B6C" w:rsidRPr="008E0B6C" w:rsidRDefault="008E0B6C" w:rsidP="008E0B6C">
            <w:pPr>
              <w:spacing w:after="0" w:line="240" w:lineRule="auto"/>
              <w:rPr>
                <w:rFonts w:ascii="Arial" w:eastAsia="Times New Roman" w:hAnsi="Arial" w:cs="Arial"/>
                <w:b/>
                <w:bCs/>
                <w:color w:val="FFFFFF"/>
                <w:sz w:val="20"/>
                <w:szCs w:val="20"/>
              </w:rPr>
            </w:pPr>
          </w:p>
        </w:tc>
        <w:tc>
          <w:tcPr>
            <w:tcW w:w="1845" w:type="dxa"/>
            <w:tcBorders>
              <w:top w:val="nil"/>
              <w:left w:val="nil"/>
              <w:bottom w:val="single" w:sz="4" w:space="0" w:color="auto"/>
              <w:right w:val="single" w:sz="4" w:space="0" w:color="FFFFFF"/>
            </w:tcBorders>
            <w:shd w:val="clear" w:color="000000" w:fill="0070D0"/>
            <w:vAlign w:val="center"/>
            <w:hideMark/>
          </w:tcPr>
          <w:p w:rsidR="008E0B6C" w:rsidRPr="008E0B6C" w:rsidRDefault="008E0B6C" w:rsidP="00F0706F">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(MW  1</w:t>
            </w:r>
            <w:r w:rsidR="00F66790" w:rsidRPr="00F66790">
              <w:rPr>
                <w:rFonts w:ascii="Arial" w:eastAsia="Times New Roman" w:hAnsi="Arial" w:cs="Arial"/>
                <w:b/>
                <w:color w:val="FFFFFF"/>
                <w:sz w:val="20"/>
                <w:szCs w:val="20"/>
              </w:rPr>
              <w:t>–</w:t>
            </w:r>
            <w:r w:rsidRPr="008E0B6C">
              <w:rPr>
                <w:rFonts w:ascii="Arial" w:eastAsia="Times New Roman" w:hAnsi="Arial" w:cs="Arial"/>
                <w:b/>
                <w:bCs/>
                <w:color w:val="FFFFFF"/>
                <w:sz w:val="20"/>
                <w:szCs w:val="20"/>
              </w:rPr>
              <w:t>6 PM)</w:t>
            </w:r>
          </w:p>
        </w:tc>
        <w:tc>
          <w:tcPr>
            <w:tcW w:w="970" w:type="dxa"/>
            <w:tcBorders>
              <w:top w:val="nil"/>
              <w:left w:val="nil"/>
              <w:bottom w:val="single" w:sz="4" w:space="0" w:color="auto"/>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10th</w:t>
            </w:r>
          </w:p>
        </w:tc>
        <w:tc>
          <w:tcPr>
            <w:tcW w:w="1100" w:type="dxa"/>
            <w:tcBorders>
              <w:top w:val="nil"/>
              <w:left w:val="nil"/>
              <w:bottom w:val="single" w:sz="4" w:space="0" w:color="auto"/>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30th</w:t>
            </w:r>
          </w:p>
        </w:tc>
        <w:tc>
          <w:tcPr>
            <w:tcW w:w="875" w:type="dxa"/>
            <w:tcBorders>
              <w:top w:val="nil"/>
              <w:left w:val="nil"/>
              <w:bottom w:val="single" w:sz="4" w:space="0" w:color="auto"/>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50th</w:t>
            </w:r>
          </w:p>
        </w:tc>
        <w:tc>
          <w:tcPr>
            <w:tcW w:w="1100" w:type="dxa"/>
            <w:tcBorders>
              <w:top w:val="nil"/>
              <w:left w:val="nil"/>
              <w:bottom w:val="single" w:sz="4" w:space="0" w:color="auto"/>
              <w:right w:val="single" w:sz="4" w:space="0" w:color="FFFFFF"/>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70th</w:t>
            </w:r>
          </w:p>
        </w:tc>
        <w:tc>
          <w:tcPr>
            <w:tcW w:w="1100" w:type="dxa"/>
            <w:tcBorders>
              <w:top w:val="nil"/>
              <w:left w:val="nil"/>
              <w:bottom w:val="single" w:sz="4" w:space="0" w:color="auto"/>
              <w:right w:val="single" w:sz="4" w:space="0" w:color="auto"/>
            </w:tcBorders>
            <w:shd w:val="clear" w:color="000000" w:fill="0070D0"/>
            <w:vAlign w:val="center"/>
            <w:hideMark/>
          </w:tcPr>
          <w:p w:rsidR="008E0B6C" w:rsidRPr="008E0B6C" w:rsidRDefault="008E0B6C" w:rsidP="008E0B6C">
            <w:pPr>
              <w:spacing w:after="0" w:line="240" w:lineRule="auto"/>
              <w:jc w:val="center"/>
              <w:rPr>
                <w:rFonts w:ascii="Arial" w:eastAsia="Times New Roman" w:hAnsi="Arial" w:cs="Arial"/>
                <w:b/>
                <w:bCs/>
                <w:color w:val="FFFFFF"/>
                <w:sz w:val="20"/>
                <w:szCs w:val="20"/>
              </w:rPr>
            </w:pPr>
            <w:r w:rsidRPr="008E0B6C">
              <w:rPr>
                <w:rFonts w:ascii="Arial" w:eastAsia="Times New Roman" w:hAnsi="Arial" w:cs="Arial"/>
                <w:b/>
                <w:bCs/>
                <w:color w:val="FFFFFF"/>
                <w:sz w:val="20"/>
                <w:szCs w:val="20"/>
              </w:rPr>
              <w:t>90th</w:t>
            </w:r>
          </w:p>
        </w:tc>
      </w:tr>
      <w:tr w:rsidR="002A6331" w:rsidRPr="008E0B6C" w:rsidTr="00F0706F">
        <w:trPr>
          <w:trHeight w:val="300"/>
          <w:jc w:val="center"/>
        </w:trPr>
        <w:tc>
          <w:tcPr>
            <w:tcW w:w="1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SCE</w:t>
            </w:r>
          </w:p>
        </w:tc>
        <w:tc>
          <w:tcPr>
            <w:tcW w:w="1050"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1-in-10</w:t>
            </w: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20.3</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10.1</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16.1</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24.5</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30.6</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20.5</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10.1</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16.2</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20.5</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24.7</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30.8</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27.2</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13.4</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21.6</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27.2</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32.8</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41.0</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1-in-2</w:t>
            </w: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21.3</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11.5</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17.3</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31.1</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21.4</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11.5</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17.4</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21.4</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25.4</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31.3</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28.5</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15.3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23.1</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28.5</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33.8</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41.6</w:t>
            </w:r>
          </w:p>
        </w:tc>
      </w:tr>
      <w:tr w:rsidR="002A6331" w:rsidRPr="008E0B6C" w:rsidTr="00F0706F">
        <w:trPr>
          <w:trHeight w:val="255"/>
          <w:jc w:val="center"/>
        </w:trPr>
        <w:tc>
          <w:tcPr>
            <w:tcW w:w="1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CAISO</w:t>
            </w:r>
          </w:p>
        </w:tc>
        <w:tc>
          <w:tcPr>
            <w:tcW w:w="1050"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1-in-10</w:t>
            </w: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20.8</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10.7</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16.6</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20.8</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24.9</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30.8</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20.9</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10.7</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16.7</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20.9</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25.0</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31.0</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27.8</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14.3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22.3</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27.8</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33.3</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41.3</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val="restart"/>
            <w:tcBorders>
              <w:top w:val="nil"/>
              <w:left w:val="single" w:sz="4" w:space="0" w:color="auto"/>
              <w:bottom w:val="single" w:sz="4" w:space="0" w:color="auto"/>
              <w:right w:val="single" w:sz="4" w:space="0" w:color="auto"/>
            </w:tcBorders>
            <w:shd w:val="clear" w:color="auto" w:fill="auto"/>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1-in-2</w:t>
            </w: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21.7</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12.1</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17.8</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21.7</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25.7</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31.4</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2016</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21.9</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12.2</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17.9</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21.9</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25.8</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31.6</w:t>
            </w:r>
          </w:p>
        </w:tc>
      </w:tr>
      <w:tr w:rsidR="002A6331" w:rsidRPr="008E0B6C" w:rsidTr="00F0706F">
        <w:trPr>
          <w:trHeight w:val="255"/>
          <w:jc w:val="center"/>
        </w:trPr>
        <w:tc>
          <w:tcPr>
            <w:tcW w:w="108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rsidR="002A6331" w:rsidRPr="008E0B6C" w:rsidRDefault="002A6331" w:rsidP="008E0B6C">
            <w:pPr>
              <w:spacing w:after="0" w:line="240" w:lineRule="auto"/>
              <w:rPr>
                <w:rFonts w:ascii="Arial" w:eastAsia="Times New Roman" w:hAnsi="Arial" w:cs="Arial"/>
                <w:color w:val="000000"/>
                <w:sz w:val="20"/>
                <w:szCs w:val="20"/>
              </w:rPr>
            </w:pPr>
          </w:p>
        </w:tc>
        <w:tc>
          <w:tcPr>
            <w:tcW w:w="720" w:type="dxa"/>
            <w:tcBorders>
              <w:top w:val="nil"/>
              <w:left w:val="nil"/>
              <w:bottom w:val="single" w:sz="4" w:space="0" w:color="auto"/>
              <w:right w:val="single" w:sz="4" w:space="0" w:color="auto"/>
            </w:tcBorders>
            <w:shd w:val="clear" w:color="auto" w:fill="auto"/>
            <w:noWrap/>
            <w:vAlign w:val="center"/>
            <w:hideMark/>
          </w:tcPr>
          <w:p w:rsidR="002A6331" w:rsidRPr="008E0B6C" w:rsidRDefault="002A6331" w:rsidP="008E0B6C">
            <w:pPr>
              <w:spacing w:after="0" w:line="240" w:lineRule="auto"/>
              <w:jc w:val="center"/>
              <w:rPr>
                <w:rFonts w:ascii="Arial" w:eastAsia="Times New Roman" w:hAnsi="Arial" w:cs="Arial"/>
                <w:color w:val="000000"/>
                <w:sz w:val="20"/>
                <w:szCs w:val="20"/>
              </w:rPr>
            </w:pPr>
            <w:r w:rsidRPr="008E0B6C">
              <w:rPr>
                <w:rFonts w:ascii="Arial" w:eastAsia="Times New Roman" w:hAnsi="Arial" w:cs="Arial"/>
                <w:color w:val="000000"/>
                <w:sz w:val="20"/>
                <w:szCs w:val="20"/>
              </w:rPr>
              <w:t>2025</w:t>
            </w:r>
          </w:p>
        </w:tc>
        <w:tc>
          <w:tcPr>
            <w:tcW w:w="184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29.1</w:t>
            </w:r>
          </w:p>
        </w:tc>
        <w:tc>
          <w:tcPr>
            <w:tcW w:w="97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16.2</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23.8</w:t>
            </w:r>
          </w:p>
        </w:tc>
        <w:tc>
          <w:tcPr>
            <w:tcW w:w="875"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29.1</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34.4</w:t>
            </w:r>
          </w:p>
        </w:tc>
        <w:tc>
          <w:tcPr>
            <w:tcW w:w="1100" w:type="dxa"/>
            <w:tcBorders>
              <w:top w:val="nil"/>
              <w:left w:val="nil"/>
              <w:bottom w:val="single" w:sz="4" w:space="0" w:color="auto"/>
              <w:right w:val="single" w:sz="4" w:space="0" w:color="auto"/>
            </w:tcBorders>
            <w:shd w:val="clear" w:color="auto" w:fill="auto"/>
            <w:noWrap/>
            <w:vAlign w:val="center"/>
            <w:hideMark/>
          </w:tcPr>
          <w:p w:rsidR="002A6331" w:rsidRPr="002A6331" w:rsidRDefault="002A6331" w:rsidP="002A6331">
            <w:pPr>
              <w:spacing w:before="60" w:after="60"/>
              <w:jc w:val="center"/>
              <w:rPr>
                <w:rFonts w:ascii="Arial" w:hAnsi="Arial" w:cs="Arial"/>
                <w:color w:val="000000"/>
                <w:sz w:val="20"/>
                <w:szCs w:val="20"/>
              </w:rPr>
            </w:pPr>
            <w:r w:rsidRPr="002A6331">
              <w:rPr>
                <w:rFonts w:ascii="Arial" w:hAnsi="Arial" w:cs="Arial"/>
                <w:color w:val="000000"/>
                <w:sz w:val="20"/>
                <w:szCs w:val="20"/>
              </w:rPr>
              <w:t>42.0</w:t>
            </w:r>
          </w:p>
        </w:tc>
      </w:tr>
    </w:tbl>
    <w:p w:rsidR="009A283D" w:rsidRPr="00E84E74" w:rsidRDefault="009A283D" w:rsidP="009A283D">
      <w:pPr>
        <w:pStyle w:val="Heading3"/>
        <w:spacing w:before="360"/>
        <w:rPr>
          <w:rFonts w:cs="Calibri"/>
        </w:rPr>
      </w:pPr>
      <w:bookmarkStart w:id="218" w:name="_Toc415494793"/>
      <w:r>
        <w:t xml:space="preserve">Ex Ante </w:t>
      </w:r>
      <w:r w:rsidRPr="007E27F3">
        <w:t>Impacts</w:t>
      </w:r>
      <w:r>
        <w:t xml:space="preserve"> by Geographic </w:t>
      </w:r>
      <w:r w:rsidRPr="008429AC">
        <w:t>Location</w:t>
      </w:r>
      <w:r>
        <w:t xml:space="preserve"> and Month</w:t>
      </w:r>
      <w:bookmarkEnd w:id="218"/>
      <w:r>
        <w:t xml:space="preserve"> </w:t>
      </w:r>
    </w:p>
    <w:p w:rsidR="009A283D" w:rsidRPr="00135AA2" w:rsidRDefault="009A283D" w:rsidP="009A283D">
      <w:pPr>
        <w:pStyle w:val="BodyParagraph"/>
      </w:pPr>
      <w:r>
        <w:t>Table 7-5 presents aggregate 2015</w:t>
      </w:r>
      <w:r w:rsidRPr="00135AA2">
        <w:t xml:space="preserve"> ex ante </w:t>
      </w:r>
      <w:r>
        <w:t>impacts for each transmission planning area by month</w:t>
      </w:r>
      <w:r w:rsidRPr="00135AA2">
        <w:t xml:space="preserve"> for large C&amp;I customers</w:t>
      </w:r>
      <w:proofErr w:type="gramStart"/>
      <w:r w:rsidRPr="00135AA2">
        <w:t xml:space="preserve">.  </w:t>
      </w:r>
      <w:proofErr w:type="gramEnd"/>
      <w:r w:rsidRPr="00135AA2">
        <w:t>Load impacts are shown for the Resource Adequacy hours in effect for each month</w:t>
      </w:r>
      <w:r>
        <w:t>, which are</w:t>
      </w:r>
      <w:r w:rsidRPr="00135AA2">
        <w:t xml:space="preserve"> 1</w:t>
      </w:r>
      <w:r>
        <w:t xml:space="preserve"> to </w:t>
      </w:r>
      <w:r w:rsidRPr="00135AA2">
        <w:t>6 PM in the summer months and 4</w:t>
      </w:r>
      <w:r>
        <w:t xml:space="preserve"> to </w:t>
      </w:r>
      <w:r w:rsidRPr="00135AA2">
        <w:t>9 PM in the winter months</w:t>
      </w:r>
      <w:proofErr w:type="gramStart"/>
      <w:r w:rsidRPr="00135AA2">
        <w:t xml:space="preserve">.  </w:t>
      </w:r>
      <w:proofErr w:type="gramEnd"/>
      <w:r>
        <w:t>As a result of the CPP event window ending at 6 PM,</w:t>
      </w:r>
      <w:r w:rsidR="005E2919">
        <w:t xml:space="preserve"> impacts are typically between 2 and 3</w:t>
      </w:r>
      <w:r>
        <w:t xml:space="preserve"> times larger in the summer months compared with winter months</w:t>
      </w:r>
      <w:proofErr w:type="gramStart"/>
      <w:r>
        <w:t xml:space="preserve">.  </w:t>
      </w:r>
      <w:proofErr w:type="gramEnd"/>
      <w:r>
        <w:t>It should also be noted that estimates for months outside of the June to September time frame should be used with caution as SCE has not called</w:t>
      </w:r>
      <w:r w:rsidR="007F5235">
        <w:t xml:space="preserve"> CPP</w:t>
      </w:r>
      <w:r>
        <w:t xml:space="preserve"> events in shoulder and winter months</w:t>
      </w:r>
      <w:proofErr w:type="gramStart"/>
      <w:r>
        <w:t xml:space="preserve">. </w:t>
      </w:r>
      <w:r w:rsidR="00F66790">
        <w:t xml:space="preserve"> </w:t>
      </w:r>
      <w:proofErr w:type="gramEnd"/>
      <w:r>
        <w:t>As such, there is no</w:t>
      </w:r>
      <w:r w:rsidR="00F66790">
        <w:t> </w:t>
      </w:r>
      <w:r>
        <w:t>real empirical data on how customers will respond in these periods</w:t>
      </w:r>
      <w:r w:rsidR="00F66790">
        <w:t>,</w:t>
      </w:r>
      <w:r>
        <w:t xml:space="preserve"> which vary significantly in terms of weather conditions and event window hours.   </w:t>
      </w:r>
    </w:p>
    <w:p w:rsidR="009A283D" w:rsidRDefault="009A283D" w:rsidP="009A283D">
      <w:pPr>
        <w:pStyle w:val="BodyParagraph"/>
      </w:pPr>
      <w:r w:rsidRPr="00135AA2">
        <w:t>In aggregate, the load reductions are largest in the</w:t>
      </w:r>
      <w:r>
        <w:t xml:space="preserve"> Orange County and</w:t>
      </w:r>
      <w:r w:rsidRPr="00135AA2">
        <w:t xml:space="preserve"> </w:t>
      </w:r>
      <w:r>
        <w:t>Other transmission planning areas</w:t>
      </w:r>
      <w:proofErr w:type="gramStart"/>
      <w:r>
        <w:t xml:space="preserve">.  </w:t>
      </w:r>
      <w:proofErr w:type="gramEnd"/>
      <w:r>
        <w:t>The 2015</w:t>
      </w:r>
      <w:r w:rsidRPr="00135AA2">
        <w:t xml:space="preserve"> enrol</w:t>
      </w:r>
      <w:r>
        <w:t>lment forecast shows 34% of enrollments located in Orange County, and 56</w:t>
      </w:r>
      <w:r w:rsidRPr="00135AA2">
        <w:t>% of enrollments located in the</w:t>
      </w:r>
      <w:r>
        <w:t xml:space="preserve"> Other transmission planning area</w:t>
      </w:r>
      <w:proofErr w:type="gramStart"/>
      <w:r w:rsidRPr="00135AA2">
        <w:t xml:space="preserve">.  </w:t>
      </w:r>
      <w:proofErr w:type="gramEnd"/>
      <w:r>
        <w:t>C</w:t>
      </w:r>
      <w:r w:rsidRPr="00135AA2">
        <w:t>ustomers cla</w:t>
      </w:r>
      <w:r>
        <w:t>ssified as Orange County transmission planning area provided 67% of aggregate ex ante</w:t>
      </w:r>
      <w:r w:rsidRPr="00135AA2">
        <w:t xml:space="preserve"> impact</w:t>
      </w:r>
      <w:r>
        <w:t>s despite only accounting for 34</w:t>
      </w:r>
      <w:r w:rsidRPr="00135AA2">
        <w:t>% of the total population</w:t>
      </w:r>
      <w:r>
        <w:t>.</w:t>
      </w:r>
    </w:p>
    <w:p w:rsidR="009A283D" w:rsidRPr="00F66790" w:rsidRDefault="009A283D" w:rsidP="008028DC">
      <w:pPr>
        <w:pStyle w:val="TableFigureCaption"/>
      </w:pPr>
      <w:r w:rsidRPr="00F66790">
        <w:lastRenderedPageBreak/>
        <w:t>Table 7-5: Aggregate SCE Ex Ante Load Impact Estimates by Transmission Planning Area</w:t>
      </w:r>
      <w:r w:rsidR="007F5235" w:rsidRPr="00F66790">
        <w:t xml:space="preserve">, </w:t>
      </w:r>
      <w:r w:rsidRPr="00F66790">
        <w:t>Large C&amp;I 201</w:t>
      </w:r>
      <w:r w:rsidR="00112253">
        <w:t>5</w:t>
      </w:r>
      <w:r w:rsidRPr="00F66790">
        <w:t xml:space="preserve"> Monthly System Peak Days, SCE Weather Scenarios</w:t>
      </w:r>
      <w:r w:rsidRPr="003F5210">
        <w:rPr>
          <w:rStyle w:val="FootnoteReference"/>
        </w:rPr>
        <w:footnoteReference w:id="26"/>
      </w:r>
      <w:r w:rsidRPr="00F66790">
        <w:t xml:space="preserve"> </w:t>
      </w:r>
    </w:p>
    <w:tbl>
      <w:tblPr>
        <w:tblW w:w="10370" w:type="dxa"/>
        <w:jc w:val="center"/>
        <w:tblInd w:w="93" w:type="dxa"/>
        <w:tblLook w:val="04A0" w:firstRow="1" w:lastRow="0" w:firstColumn="1" w:lastColumn="0" w:noHBand="0" w:noVBand="1"/>
      </w:tblPr>
      <w:tblGrid>
        <w:gridCol w:w="1006"/>
        <w:gridCol w:w="1641"/>
        <w:gridCol w:w="620"/>
        <w:gridCol w:w="628"/>
        <w:gridCol w:w="628"/>
        <w:gridCol w:w="620"/>
        <w:gridCol w:w="620"/>
        <w:gridCol w:w="628"/>
        <w:gridCol w:w="620"/>
        <w:gridCol w:w="661"/>
        <w:gridCol w:w="714"/>
        <w:gridCol w:w="695"/>
        <w:gridCol w:w="650"/>
        <w:gridCol w:w="639"/>
      </w:tblGrid>
      <w:tr w:rsidR="0000306E" w:rsidRPr="002104FC" w:rsidTr="00112253">
        <w:trPr>
          <w:trHeight w:val="510"/>
          <w:jc w:val="center"/>
        </w:trPr>
        <w:tc>
          <w:tcPr>
            <w:tcW w:w="1006"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Weather Year</w:t>
            </w:r>
          </w:p>
        </w:tc>
        <w:tc>
          <w:tcPr>
            <w:tcW w:w="1641"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Local Capacity Area</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Jan.</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Feb.</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Mar.</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Apr.</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May</w:t>
            </w:r>
          </w:p>
        </w:tc>
        <w:tc>
          <w:tcPr>
            <w:tcW w:w="628"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Jun.</w:t>
            </w:r>
          </w:p>
        </w:tc>
        <w:tc>
          <w:tcPr>
            <w:tcW w:w="620"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Jul.</w:t>
            </w:r>
          </w:p>
        </w:tc>
        <w:tc>
          <w:tcPr>
            <w:tcW w:w="661"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Aug.</w:t>
            </w:r>
          </w:p>
        </w:tc>
        <w:tc>
          <w:tcPr>
            <w:tcW w:w="714"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Sep.</w:t>
            </w:r>
          </w:p>
        </w:tc>
        <w:tc>
          <w:tcPr>
            <w:tcW w:w="695"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Oct.</w:t>
            </w:r>
          </w:p>
        </w:tc>
        <w:tc>
          <w:tcPr>
            <w:tcW w:w="650" w:type="dxa"/>
            <w:tcBorders>
              <w:top w:val="single" w:sz="4" w:space="0" w:color="000000"/>
              <w:left w:val="nil"/>
              <w:bottom w:val="single" w:sz="4" w:space="0" w:color="FFFFFF"/>
              <w:right w:val="single" w:sz="4" w:space="0" w:color="FFFFFF"/>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Nov.</w:t>
            </w:r>
          </w:p>
        </w:tc>
        <w:tc>
          <w:tcPr>
            <w:tcW w:w="639" w:type="dxa"/>
            <w:tcBorders>
              <w:top w:val="single" w:sz="4" w:space="0" w:color="000000"/>
              <w:left w:val="nil"/>
              <w:bottom w:val="single" w:sz="4" w:space="0" w:color="FFFFFF"/>
              <w:right w:val="single" w:sz="4" w:space="0" w:color="000000"/>
            </w:tcBorders>
            <w:shd w:val="clear" w:color="000000" w:fill="0070D0"/>
            <w:vAlign w:val="center"/>
            <w:hideMark/>
          </w:tcPr>
          <w:p w:rsidR="002104FC" w:rsidRPr="002104FC" w:rsidRDefault="002104FC" w:rsidP="00564710">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Dec.</w:t>
            </w:r>
          </w:p>
        </w:tc>
      </w:tr>
      <w:tr w:rsidR="002104FC" w:rsidRPr="002104FC" w:rsidTr="00112253">
        <w:trPr>
          <w:trHeight w:val="585"/>
          <w:jc w:val="center"/>
        </w:trPr>
        <w:tc>
          <w:tcPr>
            <w:tcW w:w="1006" w:type="dxa"/>
            <w:vMerge/>
            <w:tcBorders>
              <w:top w:val="single" w:sz="4" w:space="0" w:color="000000"/>
              <w:left w:val="single" w:sz="4" w:space="0" w:color="000000"/>
              <w:bottom w:val="single" w:sz="4" w:space="0" w:color="000000"/>
              <w:right w:val="single" w:sz="4" w:space="0" w:color="FFFFFF"/>
            </w:tcBorders>
            <w:vAlign w:val="center"/>
            <w:hideMark/>
          </w:tcPr>
          <w:p w:rsidR="002104FC" w:rsidRPr="002104FC" w:rsidRDefault="002104FC" w:rsidP="00564710">
            <w:pPr>
              <w:keepNext/>
              <w:spacing w:after="0" w:line="240" w:lineRule="auto"/>
              <w:rPr>
                <w:rFonts w:ascii="Arial" w:eastAsia="Times New Roman" w:hAnsi="Arial" w:cs="Arial"/>
                <w:b/>
                <w:bCs/>
                <w:color w:val="FFFFFF"/>
                <w:sz w:val="20"/>
                <w:szCs w:val="20"/>
              </w:rPr>
            </w:pPr>
          </w:p>
        </w:tc>
        <w:tc>
          <w:tcPr>
            <w:tcW w:w="1641" w:type="dxa"/>
            <w:vMerge/>
            <w:tcBorders>
              <w:top w:val="single" w:sz="4" w:space="0" w:color="000000"/>
              <w:left w:val="single" w:sz="4" w:space="0" w:color="FFFFFF"/>
              <w:bottom w:val="single" w:sz="4" w:space="0" w:color="000000"/>
              <w:right w:val="single" w:sz="4" w:space="0" w:color="FFFFFF"/>
            </w:tcBorders>
            <w:vAlign w:val="center"/>
            <w:hideMark/>
          </w:tcPr>
          <w:p w:rsidR="002104FC" w:rsidRPr="002104FC" w:rsidRDefault="002104FC" w:rsidP="00564710">
            <w:pPr>
              <w:keepNext/>
              <w:spacing w:after="0" w:line="240" w:lineRule="auto"/>
              <w:rPr>
                <w:rFonts w:ascii="Arial" w:eastAsia="Times New Roman" w:hAnsi="Arial" w:cs="Arial"/>
                <w:b/>
                <w:bCs/>
                <w:color w:val="FFFFFF"/>
                <w:sz w:val="20"/>
                <w:szCs w:val="20"/>
              </w:rPr>
            </w:pPr>
          </w:p>
        </w:tc>
        <w:tc>
          <w:tcPr>
            <w:tcW w:w="2496" w:type="dxa"/>
            <w:gridSpan w:val="4"/>
            <w:tcBorders>
              <w:top w:val="single" w:sz="4" w:space="0" w:color="FFFFFF"/>
              <w:left w:val="nil"/>
              <w:bottom w:val="single" w:sz="4" w:space="0" w:color="000000"/>
              <w:right w:val="single" w:sz="4" w:space="0" w:color="FFFFFF"/>
            </w:tcBorders>
            <w:shd w:val="clear" w:color="000000" w:fill="0070D0"/>
            <w:vAlign w:val="center"/>
            <w:hideMark/>
          </w:tcPr>
          <w:p w:rsidR="002104FC" w:rsidRPr="002104FC" w:rsidRDefault="00F0706F" w:rsidP="00F0706F">
            <w:pPr>
              <w:keepNext/>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4</w:t>
            </w:r>
            <w:r w:rsidR="00F66790">
              <w:rPr>
                <w:rFonts w:ascii="Arial" w:eastAsia="Times New Roman" w:hAnsi="Arial" w:cs="Arial"/>
                <w:b/>
                <w:bCs/>
                <w:color w:val="FFFFFF"/>
                <w:sz w:val="20"/>
                <w:szCs w:val="20"/>
              </w:rPr>
              <w:softHyphen/>
            </w:r>
            <w:r w:rsidR="003F5210">
              <w:rPr>
                <w:rFonts w:ascii="Arial" w:eastAsia="Times New Roman" w:hAnsi="Arial" w:cs="Arial"/>
                <w:b/>
                <w:color w:val="FFFFFF"/>
                <w:sz w:val="20"/>
                <w:szCs w:val="20"/>
              </w:rPr>
              <w:t xml:space="preserve"> to </w:t>
            </w:r>
            <w:r w:rsidR="002104FC" w:rsidRPr="002104FC">
              <w:rPr>
                <w:rFonts w:ascii="Arial" w:eastAsia="Times New Roman" w:hAnsi="Arial" w:cs="Arial"/>
                <w:b/>
                <w:bCs/>
                <w:color w:val="FFFFFF"/>
                <w:sz w:val="20"/>
                <w:szCs w:val="20"/>
              </w:rPr>
              <w:t xml:space="preserve">9 </w:t>
            </w:r>
            <w:r>
              <w:rPr>
                <w:rFonts w:ascii="Arial" w:eastAsia="Times New Roman" w:hAnsi="Arial" w:cs="Arial"/>
                <w:b/>
                <w:bCs/>
                <w:color w:val="FFFFFF"/>
                <w:sz w:val="20"/>
                <w:szCs w:val="20"/>
              </w:rPr>
              <w:t>PM</w:t>
            </w:r>
            <w:r w:rsidR="002104FC" w:rsidRPr="002104FC">
              <w:rPr>
                <w:rFonts w:ascii="Arial" w:eastAsia="Times New Roman" w:hAnsi="Arial" w:cs="Arial"/>
                <w:b/>
                <w:bCs/>
                <w:color w:val="FFFFFF"/>
                <w:sz w:val="20"/>
                <w:szCs w:val="20"/>
              </w:rPr>
              <w:t xml:space="preserve"> Resource Adequacy Window</w:t>
            </w:r>
          </w:p>
        </w:tc>
        <w:tc>
          <w:tcPr>
            <w:tcW w:w="3938" w:type="dxa"/>
            <w:gridSpan w:val="6"/>
            <w:tcBorders>
              <w:top w:val="single" w:sz="4" w:space="0" w:color="FFFFFF"/>
              <w:left w:val="nil"/>
              <w:bottom w:val="single" w:sz="4" w:space="0" w:color="000000"/>
              <w:right w:val="single" w:sz="4" w:space="0" w:color="FFFFFF"/>
            </w:tcBorders>
            <w:shd w:val="clear" w:color="000000" w:fill="0070D0"/>
            <w:vAlign w:val="center"/>
            <w:hideMark/>
          </w:tcPr>
          <w:p w:rsidR="002104FC" w:rsidRPr="002104FC" w:rsidRDefault="002104FC" w:rsidP="00F0706F">
            <w:pPr>
              <w:keepNext/>
              <w:spacing w:after="0" w:line="240" w:lineRule="auto"/>
              <w:jc w:val="center"/>
              <w:rPr>
                <w:rFonts w:ascii="Arial" w:eastAsia="Times New Roman" w:hAnsi="Arial" w:cs="Arial"/>
                <w:b/>
                <w:bCs/>
                <w:color w:val="FFFFFF"/>
                <w:sz w:val="20"/>
                <w:szCs w:val="20"/>
              </w:rPr>
            </w:pPr>
            <w:r w:rsidRPr="002104FC">
              <w:rPr>
                <w:rFonts w:ascii="Arial" w:eastAsia="Times New Roman" w:hAnsi="Arial" w:cs="Arial"/>
                <w:b/>
                <w:bCs/>
                <w:color w:val="FFFFFF"/>
                <w:sz w:val="20"/>
                <w:szCs w:val="20"/>
              </w:rPr>
              <w:t>1</w:t>
            </w:r>
            <w:r w:rsidR="003F5210">
              <w:rPr>
                <w:rFonts w:ascii="Arial" w:eastAsia="Times New Roman" w:hAnsi="Arial" w:cs="Arial"/>
                <w:b/>
                <w:color w:val="FFFFFF"/>
                <w:sz w:val="20"/>
                <w:szCs w:val="20"/>
              </w:rPr>
              <w:t xml:space="preserve"> to </w:t>
            </w:r>
            <w:r w:rsidRPr="002104FC">
              <w:rPr>
                <w:rFonts w:ascii="Arial" w:eastAsia="Times New Roman" w:hAnsi="Arial" w:cs="Arial"/>
                <w:b/>
                <w:bCs/>
                <w:color w:val="FFFFFF"/>
                <w:sz w:val="20"/>
                <w:szCs w:val="20"/>
              </w:rPr>
              <w:t xml:space="preserve">6 </w:t>
            </w:r>
            <w:r w:rsidR="00F0706F">
              <w:rPr>
                <w:rFonts w:ascii="Arial" w:eastAsia="Times New Roman" w:hAnsi="Arial" w:cs="Arial"/>
                <w:b/>
                <w:bCs/>
                <w:color w:val="FFFFFF"/>
                <w:sz w:val="20"/>
                <w:szCs w:val="20"/>
              </w:rPr>
              <w:t>PM</w:t>
            </w:r>
            <w:r w:rsidRPr="002104FC">
              <w:rPr>
                <w:rFonts w:ascii="Arial" w:eastAsia="Times New Roman" w:hAnsi="Arial" w:cs="Arial"/>
                <w:b/>
                <w:bCs/>
                <w:color w:val="FFFFFF"/>
                <w:sz w:val="20"/>
                <w:szCs w:val="20"/>
              </w:rPr>
              <w:t xml:space="preserve"> Resource Adequacy Window</w:t>
            </w:r>
          </w:p>
        </w:tc>
        <w:tc>
          <w:tcPr>
            <w:tcW w:w="1289" w:type="dxa"/>
            <w:gridSpan w:val="2"/>
            <w:tcBorders>
              <w:top w:val="single" w:sz="4" w:space="0" w:color="FFFFFF"/>
              <w:left w:val="nil"/>
              <w:bottom w:val="single" w:sz="4" w:space="0" w:color="000000"/>
              <w:right w:val="single" w:sz="4" w:space="0" w:color="000000"/>
            </w:tcBorders>
            <w:shd w:val="clear" w:color="000000" w:fill="0070D0"/>
            <w:vAlign w:val="center"/>
            <w:hideMark/>
          </w:tcPr>
          <w:p w:rsidR="002104FC" w:rsidRPr="002104FC" w:rsidRDefault="00F0706F" w:rsidP="00F0706F">
            <w:pPr>
              <w:keepNext/>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4</w:t>
            </w:r>
            <w:r w:rsidR="003F5210">
              <w:rPr>
                <w:rFonts w:ascii="Arial" w:eastAsia="Times New Roman" w:hAnsi="Arial" w:cs="Arial"/>
                <w:b/>
                <w:color w:val="FFFFFF"/>
                <w:sz w:val="20"/>
                <w:szCs w:val="20"/>
              </w:rPr>
              <w:t xml:space="preserve"> to </w:t>
            </w:r>
            <w:r w:rsidR="002104FC" w:rsidRPr="002104FC">
              <w:rPr>
                <w:rFonts w:ascii="Arial" w:eastAsia="Times New Roman" w:hAnsi="Arial" w:cs="Arial"/>
                <w:b/>
                <w:bCs/>
                <w:color w:val="FFFFFF"/>
                <w:sz w:val="20"/>
                <w:szCs w:val="20"/>
              </w:rPr>
              <w:t xml:space="preserve">9 </w:t>
            </w:r>
            <w:r>
              <w:rPr>
                <w:rFonts w:ascii="Arial" w:eastAsia="Times New Roman" w:hAnsi="Arial" w:cs="Arial"/>
                <w:b/>
                <w:bCs/>
                <w:color w:val="FFFFFF"/>
                <w:sz w:val="20"/>
                <w:szCs w:val="20"/>
              </w:rPr>
              <w:t>PM</w:t>
            </w:r>
          </w:p>
        </w:tc>
      </w:tr>
      <w:tr w:rsidR="00112253" w:rsidRPr="002104FC" w:rsidTr="00112253">
        <w:trPr>
          <w:trHeight w:val="255"/>
          <w:jc w:val="center"/>
        </w:trPr>
        <w:tc>
          <w:tcPr>
            <w:tcW w:w="1006" w:type="dxa"/>
            <w:vMerge w:val="restart"/>
            <w:tcBorders>
              <w:top w:val="nil"/>
              <w:left w:val="single" w:sz="4" w:space="0" w:color="000000"/>
              <w:bottom w:val="single" w:sz="4" w:space="0" w:color="000000"/>
              <w:right w:val="single" w:sz="4" w:space="0" w:color="000000"/>
            </w:tcBorders>
            <w:shd w:val="clear" w:color="auto" w:fill="auto"/>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1-in-10</w:t>
            </w: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All</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15.0</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14.6</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15.3</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14.0</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21.6</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22.4</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20.5</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20.3</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20.2</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21.0</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14.5</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14.2</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Orange County</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5.9</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5.8</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6.2</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6.6</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13.9</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13.9</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13.9</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14.3</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14.5</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13.2</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6.5</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5.6</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South of Lugo</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0.4</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1.7</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0.4</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Other</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8.8</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8.5</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8.7</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7.0</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6.1</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6.8</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5.0</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4.4</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3.9</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6.4</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7.6</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8.3</w:t>
            </w:r>
          </w:p>
        </w:tc>
      </w:tr>
      <w:tr w:rsidR="00112253" w:rsidRPr="002104FC" w:rsidTr="00112253">
        <w:trPr>
          <w:trHeight w:val="255"/>
          <w:jc w:val="center"/>
        </w:trPr>
        <w:tc>
          <w:tcPr>
            <w:tcW w:w="1006" w:type="dxa"/>
            <w:vMerge w:val="restart"/>
            <w:tcBorders>
              <w:top w:val="nil"/>
              <w:left w:val="single" w:sz="4" w:space="0" w:color="000000"/>
              <w:bottom w:val="single" w:sz="4" w:space="0" w:color="000000"/>
              <w:right w:val="single" w:sz="4" w:space="0" w:color="000000"/>
            </w:tcBorders>
            <w:shd w:val="clear" w:color="auto" w:fill="auto"/>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1-in-2</w:t>
            </w: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All</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14.6</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14.6</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15.0</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15.6</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25.5</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24.2</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22.4</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21.3</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23.6</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22.0</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15.8</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14.2</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Orange County</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5.8</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5.8</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6.0</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6.3</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13.9</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13.9</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13.8</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14.3</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14.5</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13.1</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6.4</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5.6</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South of Lugo</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0.4</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1.6</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1.7</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1.5</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0.3</w:t>
            </w:r>
          </w:p>
        </w:tc>
      </w:tr>
      <w:tr w:rsidR="00112253" w:rsidRPr="002104FC" w:rsidTr="00112253">
        <w:trPr>
          <w:trHeight w:val="255"/>
          <w:jc w:val="center"/>
        </w:trPr>
        <w:tc>
          <w:tcPr>
            <w:tcW w:w="1006" w:type="dxa"/>
            <w:vMerge/>
            <w:tcBorders>
              <w:top w:val="nil"/>
              <w:left w:val="single" w:sz="4" w:space="0" w:color="000000"/>
              <w:bottom w:val="single" w:sz="4" w:space="0" w:color="000000"/>
              <w:right w:val="single" w:sz="4" w:space="0" w:color="000000"/>
            </w:tcBorders>
            <w:vAlign w:val="center"/>
            <w:hideMark/>
          </w:tcPr>
          <w:p w:rsidR="00112253" w:rsidRPr="002104FC" w:rsidRDefault="00112253" w:rsidP="002104FC">
            <w:pPr>
              <w:spacing w:after="0" w:line="240" w:lineRule="auto"/>
              <w:rPr>
                <w:rFonts w:ascii="Arial" w:eastAsia="Times New Roman" w:hAnsi="Arial" w:cs="Arial"/>
                <w:color w:val="000000"/>
                <w:sz w:val="20"/>
                <w:szCs w:val="20"/>
              </w:rPr>
            </w:pPr>
          </w:p>
        </w:tc>
        <w:tc>
          <w:tcPr>
            <w:tcW w:w="1641" w:type="dxa"/>
            <w:tcBorders>
              <w:top w:val="nil"/>
              <w:left w:val="nil"/>
              <w:bottom w:val="single" w:sz="4" w:space="0" w:color="000000"/>
              <w:right w:val="single" w:sz="4" w:space="0" w:color="000000"/>
            </w:tcBorders>
            <w:shd w:val="clear" w:color="auto" w:fill="auto"/>
            <w:noWrap/>
            <w:vAlign w:val="center"/>
            <w:hideMark/>
          </w:tcPr>
          <w:p w:rsidR="00112253" w:rsidRPr="002104FC" w:rsidRDefault="00112253" w:rsidP="002104FC">
            <w:pPr>
              <w:spacing w:after="0" w:line="240" w:lineRule="auto"/>
              <w:jc w:val="center"/>
              <w:rPr>
                <w:rFonts w:ascii="Arial" w:eastAsia="Times New Roman" w:hAnsi="Arial" w:cs="Arial"/>
                <w:color w:val="000000"/>
                <w:sz w:val="20"/>
                <w:szCs w:val="20"/>
              </w:rPr>
            </w:pPr>
            <w:r w:rsidRPr="002104FC">
              <w:rPr>
                <w:rFonts w:ascii="Arial" w:eastAsia="Times New Roman" w:hAnsi="Arial" w:cs="Arial"/>
                <w:color w:val="000000"/>
                <w:sz w:val="20"/>
                <w:szCs w:val="20"/>
              </w:rPr>
              <w:t>Other</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8.5</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8.4</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8.6</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8.9</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10.0</w:t>
            </w:r>
          </w:p>
        </w:tc>
        <w:tc>
          <w:tcPr>
            <w:tcW w:w="628"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8.8</w:t>
            </w:r>
          </w:p>
        </w:tc>
        <w:tc>
          <w:tcPr>
            <w:tcW w:w="62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7.0</w:t>
            </w:r>
          </w:p>
        </w:tc>
        <w:tc>
          <w:tcPr>
            <w:tcW w:w="661"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5.4</w:t>
            </w:r>
          </w:p>
        </w:tc>
        <w:tc>
          <w:tcPr>
            <w:tcW w:w="714"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7.5</w:t>
            </w:r>
          </w:p>
        </w:tc>
        <w:tc>
          <w:tcPr>
            <w:tcW w:w="695"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7.4</w:t>
            </w:r>
          </w:p>
        </w:tc>
        <w:tc>
          <w:tcPr>
            <w:tcW w:w="650"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9.1</w:t>
            </w:r>
          </w:p>
        </w:tc>
        <w:tc>
          <w:tcPr>
            <w:tcW w:w="639" w:type="dxa"/>
            <w:tcBorders>
              <w:top w:val="nil"/>
              <w:left w:val="nil"/>
              <w:bottom w:val="single" w:sz="4" w:space="0" w:color="000000"/>
              <w:right w:val="single" w:sz="4" w:space="0" w:color="000000"/>
            </w:tcBorders>
            <w:shd w:val="clear" w:color="auto" w:fill="auto"/>
            <w:noWrap/>
            <w:vAlign w:val="center"/>
            <w:hideMark/>
          </w:tcPr>
          <w:p w:rsidR="00112253" w:rsidRDefault="00112253" w:rsidP="00112253">
            <w:pPr>
              <w:spacing w:before="60" w:after="60"/>
              <w:jc w:val="center"/>
              <w:rPr>
                <w:rFonts w:ascii="Arial" w:hAnsi="Arial" w:cs="Arial"/>
                <w:color w:val="000000"/>
                <w:sz w:val="20"/>
                <w:szCs w:val="20"/>
              </w:rPr>
            </w:pPr>
            <w:r>
              <w:rPr>
                <w:rFonts w:ascii="Arial" w:hAnsi="Arial" w:cs="Arial"/>
                <w:color w:val="000000"/>
                <w:sz w:val="20"/>
                <w:szCs w:val="20"/>
              </w:rPr>
              <w:t>8.3</w:t>
            </w:r>
          </w:p>
        </w:tc>
      </w:tr>
    </w:tbl>
    <w:p w:rsidR="009A283D" w:rsidRPr="009D4ED2" w:rsidRDefault="009A283D" w:rsidP="009A283D">
      <w:pPr>
        <w:pStyle w:val="Heading3"/>
        <w:spacing w:before="360"/>
      </w:pPr>
      <w:bookmarkStart w:id="219" w:name="_Toc415494794"/>
      <w:r>
        <w:t xml:space="preserve">Comparison of 2013 and 2014 </w:t>
      </w:r>
      <w:r w:rsidRPr="009D4ED2">
        <w:t xml:space="preserve">Ex </w:t>
      </w:r>
      <w:r>
        <w:t>A</w:t>
      </w:r>
      <w:r w:rsidRPr="009D4ED2">
        <w:t>nte Estimates</w:t>
      </w:r>
      <w:bookmarkEnd w:id="219"/>
    </w:p>
    <w:p w:rsidR="009A283D" w:rsidRDefault="009A283D" w:rsidP="009A283D">
      <w:pPr>
        <w:pStyle w:val="BodyParagraph"/>
      </w:pPr>
      <w:r>
        <w:t>Table 7-6</w:t>
      </w:r>
      <w:r w:rsidRPr="005207C2">
        <w:t xml:space="preserve"> compares the </w:t>
      </w:r>
      <w:r>
        <w:t xml:space="preserve">August </w:t>
      </w:r>
      <w:r w:rsidRPr="005207C2">
        <w:t>ex</w:t>
      </w:r>
      <w:r w:rsidR="00591536">
        <w:t xml:space="preserve"> </w:t>
      </w:r>
      <w:r w:rsidRPr="005207C2">
        <w:t>ante estimates produced for the 20</w:t>
      </w:r>
      <w:r>
        <w:t>13</w:t>
      </w:r>
      <w:r w:rsidRPr="005207C2">
        <w:t xml:space="preserve"> evaluation to those</w:t>
      </w:r>
      <w:r w:rsidR="00591536">
        <w:t> </w:t>
      </w:r>
      <w:r w:rsidRPr="005207C2">
        <w:t>presented</w:t>
      </w:r>
      <w:r>
        <w:t> in this report</w:t>
      </w:r>
      <w:proofErr w:type="gramStart"/>
      <w:r w:rsidRPr="005207C2">
        <w:t xml:space="preserve">.  </w:t>
      </w:r>
      <w:proofErr w:type="gramEnd"/>
      <w:r>
        <w:t>Because ex ante impacts take into account changes in utility</w:t>
      </w:r>
      <w:r w:rsidR="00591536">
        <w:t> </w:t>
      </w:r>
      <w:r>
        <w:t>enrollment forecasts, program design and customer mix as well as additional experience, the forecasts are adjusted each year</w:t>
      </w:r>
      <w:proofErr w:type="gramStart"/>
      <w:r>
        <w:t>.</w:t>
      </w:r>
      <w:r w:rsidR="00156F57">
        <w:t xml:space="preserve"> </w:t>
      </w:r>
      <w:r>
        <w:t xml:space="preserve"> </w:t>
      </w:r>
      <w:proofErr w:type="gramEnd"/>
      <w:r>
        <w:t>In general, forecasts a year out are more reliable while forecasts further into the future are less certain.</w:t>
      </w:r>
    </w:p>
    <w:p w:rsidR="009A283D" w:rsidRDefault="009A283D" w:rsidP="00112253">
      <w:pPr>
        <w:pStyle w:val="BodyParagraph"/>
      </w:pPr>
      <w:r>
        <w:t>Table 7-6 summarizes the comparison between the prior year’s ex ante estimates and the current ones</w:t>
      </w:r>
      <w:proofErr w:type="gramStart"/>
      <w:r>
        <w:t xml:space="preserve">. </w:t>
      </w:r>
      <w:r w:rsidR="00156F57">
        <w:t xml:space="preserve"> </w:t>
      </w:r>
      <w:proofErr w:type="gramEnd"/>
      <w:r>
        <w:t xml:space="preserve">Notable differences are observed </w:t>
      </w:r>
      <w:r w:rsidR="00112253">
        <w:t>in the</w:t>
      </w:r>
      <w:r>
        <w:t xml:space="preserve"> percent impacts, which are roughly </w:t>
      </w:r>
      <w:r w:rsidR="00112253">
        <w:t>40</w:t>
      </w:r>
      <w:r>
        <w:t>% lower than those produced in the 2013 report</w:t>
      </w:r>
      <w:proofErr w:type="gramStart"/>
      <w:r>
        <w:t xml:space="preserve">.  </w:t>
      </w:r>
      <w:proofErr w:type="gramEnd"/>
      <w:r>
        <w:t>The 2014 estimates are driven by percent reductions for persistent default CPP customers that have remained on CPP</w:t>
      </w:r>
      <w:proofErr w:type="gramStart"/>
      <w:r>
        <w:t xml:space="preserve">. </w:t>
      </w:r>
      <w:r w:rsidR="00156F57">
        <w:t xml:space="preserve"> </w:t>
      </w:r>
      <w:proofErr w:type="gramEnd"/>
      <w:r>
        <w:t>These customers deliver lower percent reductions than the whole 2014 population, but are more likely to reflect the percent reductions delivered by customers who persist on the rate into the future</w:t>
      </w:r>
      <w:proofErr w:type="gramStart"/>
      <w:r>
        <w:t xml:space="preserve">.  </w:t>
      </w:r>
      <w:proofErr w:type="gramEnd"/>
      <w:r>
        <w:t>Additionally, 2014 impact estimates were lower than those in 2012 and 2013, which were used to estimate ex ante load impacts in the 2013 analysis</w:t>
      </w:r>
      <w:proofErr w:type="gramStart"/>
      <w:r>
        <w:t xml:space="preserve">.  </w:t>
      </w:r>
      <w:proofErr w:type="gramEnd"/>
      <w:r w:rsidR="00FA6960">
        <w:t>Finally in the 2014 analysis, estimates for the 1</w:t>
      </w:r>
      <w:r w:rsidR="00156F57">
        <w:t xml:space="preserve"> to </w:t>
      </w:r>
      <w:r w:rsidR="00FA6960">
        <w:t>2 PM hour were not estimated using those from the 2</w:t>
      </w:r>
      <w:r w:rsidR="00156F57">
        <w:t xml:space="preserve"> to </w:t>
      </w:r>
      <w:r w:rsidR="00FA6960">
        <w:t>3 PM hour, unlike in the 2013 analysis</w:t>
      </w:r>
      <w:proofErr w:type="gramStart"/>
      <w:r w:rsidR="00FA6960">
        <w:t xml:space="preserve">.  </w:t>
      </w:r>
      <w:proofErr w:type="gramEnd"/>
      <w:r w:rsidR="00FA6960">
        <w:t>Thus percent impacts in the RA event window from 1</w:t>
      </w:r>
      <w:r w:rsidR="00156F57">
        <w:t xml:space="preserve"> to </w:t>
      </w:r>
      <w:r w:rsidR="00FA6960">
        <w:t>6 PM are about 20% lower than percent impacts in the 2</w:t>
      </w:r>
      <w:r w:rsidR="00156F57">
        <w:t xml:space="preserve"> to </w:t>
      </w:r>
      <w:r w:rsidR="00FA6960">
        <w:t>6 PM window</w:t>
      </w:r>
      <w:proofErr w:type="gramStart"/>
      <w:r w:rsidR="00FA6960">
        <w:t xml:space="preserve">. </w:t>
      </w:r>
      <w:r w:rsidR="00156F57">
        <w:t xml:space="preserve"> </w:t>
      </w:r>
      <w:proofErr w:type="gramEnd"/>
      <w:r>
        <w:t xml:space="preserve">The net effect is that this year’s forecast for 2015 is </w:t>
      </w:r>
      <w:r w:rsidR="00F75CE5">
        <w:t>21.3</w:t>
      </w:r>
      <w:r>
        <w:t xml:space="preserve"> MW, which is </w:t>
      </w:r>
      <w:r w:rsidR="00F75CE5">
        <w:t>40</w:t>
      </w:r>
      <w:r>
        <w:t xml:space="preserve">% </w:t>
      </w:r>
      <w:r w:rsidR="00F75CE5">
        <w:t>low</w:t>
      </w:r>
      <w:r>
        <w:t>er than last year’s forecast of 35.5 MW, with most of the di</w:t>
      </w:r>
      <w:r w:rsidR="00F75CE5">
        <w:t>fference due to changes in SCE customer response to CPP.</w:t>
      </w:r>
    </w:p>
    <w:p w:rsidR="009A283D" w:rsidRPr="009C1B85" w:rsidRDefault="009A283D" w:rsidP="00F75CE5">
      <w:pPr>
        <w:pStyle w:val="TableFigureCaption"/>
      </w:pPr>
      <w:r>
        <w:lastRenderedPageBreak/>
        <w:t>Table 7-6</w:t>
      </w:r>
      <w:r w:rsidRPr="009C1B85">
        <w:t xml:space="preserve">: Comparison of </w:t>
      </w:r>
      <w:r>
        <w:t xml:space="preserve">Large C&amp;I August </w:t>
      </w:r>
      <w:r w:rsidRPr="009C1B85">
        <w:t>Ex-ante Estimates to Prior Year Estimates</w:t>
      </w:r>
    </w:p>
    <w:tbl>
      <w:tblPr>
        <w:tblW w:w="10771" w:type="dxa"/>
        <w:jc w:val="center"/>
        <w:tblInd w:w="93" w:type="dxa"/>
        <w:tblLook w:val="04A0" w:firstRow="1" w:lastRow="0" w:firstColumn="1" w:lastColumn="0" w:noHBand="0" w:noVBand="1"/>
      </w:tblPr>
      <w:tblGrid>
        <w:gridCol w:w="980"/>
        <w:gridCol w:w="980"/>
        <w:gridCol w:w="1067"/>
        <w:gridCol w:w="1067"/>
        <w:gridCol w:w="1067"/>
        <w:gridCol w:w="1067"/>
        <w:gridCol w:w="1067"/>
        <w:gridCol w:w="1067"/>
        <w:gridCol w:w="1149"/>
        <w:gridCol w:w="1260"/>
      </w:tblGrid>
      <w:tr w:rsidR="00FA6960" w:rsidRPr="00FA6960" w:rsidTr="00F0706F">
        <w:trPr>
          <w:trHeight w:val="510"/>
          <w:jc w:val="center"/>
        </w:trPr>
        <w:tc>
          <w:tcPr>
            <w:tcW w:w="980" w:type="dxa"/>
            <w:vMerge w:val="restart"/>
            <w:tcBorders>
              <w:top w:val="single" w:sz="4" w:space="0" w:color="000000"/>
              <w:left w:val="single" w:sz="4" w:space="0" w:color="000000"/>
              <w:bottom w:val="single" w:sz="4" w:space="0" w:color="000000"/>
              <w:right w:val="single" w:sz="4" w:space="0" w:color="FFFFFF"/>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Weather Year</w:t>
            </w:r>
          </w:p>
        </w:tc>
        <w:tc>
          <w:tcPr>
            <w:tcW w:w="980" w:type="dxa"/>
            <w:vMerge w:val="restart"/>
            <w:tcBorders>
              <w:top w:val="single" w:sz="4" w:space="0" w:color="000000"/>
              <w:left w:val="single" w:sz="4" w:space="0" w:color="FFFFFF"/>
              <w:bottom w:val="single" w:sz="4" w:space="0" w:color="000000"/>
              <w:right w:val="single" w:sz="4" w:space="0" w:color="FFFFFF"/>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Year</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Accounts</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Reference Loads (MW)</w:t>
            </w:r>
          </w:p>
        </w:tc>
        <w:tc>
          <w:tcPr>
            <w:tcW w:w="2134" w:type="dxa"/>
            <w:gridSpan w:val="2"/>
            <w:tcBorders>
              <w:top w:val="single" w:sz="4" w:space="0" w:color="000000"/>
              <w:left w:val="nil"/>
              <w:bottom w:val="single" w:sz="4" w:space="0" w:color="FFFFFF"/>
              <w:right w:val="single" w:sz="4" w:space="0" w:color="FFFFFF"/>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Percent Reductions</w:t>
            </w:r>
          </w:p>
        </w:tc>
        <w:tc>
          <w:tcPr>
            <w:tcW w:w="2409" w:type="dxa"/>
            <w:gridSpan w:val="2"/>
            <w:tcBorders>
              <w:top w:val="single" w:sz="4" w:space="0" w:color="000000"/>
              <w:left w:val="nil"/>
              <w:bottom w:val="single" w:sz="4" w:space="0" w:color="FFFFFF"/>
              <w:right w:val="single" w:sz="4" w:space="0" w:color="000000"/>
            </w:tcBorders>
            <w:shd w:val="clear" w:color="000000" w:fill="0070D0"/>
            <w:vAlign w:val="center"/>
            <w:hideMark/>
          </w:tcPr>
          <w:p w:rsidR="00FA6960" w:rsidRPr="00FA6960" w:rsidRDefault="00FA6960" w:rsidP="00F75CE5">
            <w:pPr>
              <w:keepNext/>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Aggregate Impacts (MW)</w:t>
            </w:r>
          </w:p>
        </w:tc>
      </w:tr>
      <w:tr w:rsidR="00FA6960" w:rsidRPr="00FA6960" w:rsidTr="00112253">
        <w:trPr>
          <w:trHeight w:val="791"/>
          <w:jc w:val="center"/>
        </w:trPr>
        <w:tc>
          <w:tcPr>
            <w:tcW w:w="980" w:type="dxa"/>
            <w:vMerge/>
            <w:tcBorders>
              <w:top w:val="single" w:sz="4" w:space="0" w:color="000000"/>
              <w:left w:val="single" w:sz="4" w:space="0" w:color="000000"/>
              <w:bottom w:val="single" w:sz="4" w:space="0" w:color="000000"/>
              <w:right w:val="single" w:sz="4" w:space="0" w:color="FFFFFF"/>
            </w:tcBorders>
            <w:vAlign w:val="center"/>
            <w:hideMark/>
          </w:tcPr>
          <w:p w:rsidR="00FA6960" w:rsidRPr="00FA6960" w:rsidRDefault="00FA6960" w:rsidP="00112253">
            <w:pPr>
              <w:spacing w:before="60" w:after="60" w:line="240" w:lineRule="auto"/>
              <w:rPr>
                <w:rFonts w:ascii="Arial" w:eastAsia="Times New Roman" w:hAnsi="Arial" w:cs="Arial"/>
                <w:b/>
                <w:bCs/>
                <w:color w:val="FFFFFF"/>
                <w:sz w:val="18"/>
                <w:szCs w:val="18"/>
              </w:rPr>
            </w:pPr>
          </w:p>
        </w:tc>
        <w:tc>
          <w:tcPr>
            <w:tcW w:w="980" w:type="dxa"/>
            <w:vMerge/>
            <w:tcBorders>
              <w:top w:val="single" w:sz="4" w:space="0" w:color="000000"/>
              <w:left w:val="single" w:sz="4" w:space="0" w:color="FFFFFF"/>
              <w:bottom w:val="single" w:sz="4" w:space="0" w:color="000000"/>
              <w:right w:val="single" w:sz="4" w:space="0" w:color="FFFFFF"/>
            </w:tcBorders>
            <w:vAlign w:val="center"/>
            <w:hideMark/>
          </w:tcPr>
          <w:p w:rsidR="00FA6960" w:rsidRPr="00FA6960" w:rsidRDefault="00FA6960" w:rsidP="00112253">
            <w:pPr>
              <w:spacing w:before="60" w:after="60" w:line="240" w:lineRule="auto"/>
              <w:rPr>
                <w:rFonts w:ascii="Arial" w:eastAsia="Times New Roman" w:hAnsi="Arial" w:cs="Arial"/>
                <w:b/>
                <w:bCs/>
                <w:color w:val="FFFFFF"/>
                <w:sz w:val="18"/>
                <w:szCs w:val="18"/>
              </w:rPr>
            </w:pP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2013 Estimates</w:t>
            </w: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2014 Estimates</w:t>
            </w: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2013 Estimates</w:t>
            </w:r>
          </w:p>
        </w:tc>
        <w:tc>
          <w:tcPr>
            <w:tcW w:w="1067"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2014 Estimates</w:t>
            </w:r>
          </w:p>
        </w:tc>
        <w:tc>
          <w:tcPr>
            <w:tcW w:w="1149" w:type="dxa"/>
            <w:tcBorders>
              <w:top w:val="nil"/>
              <w:left w:val="nil"/>
              <w:bottom w:val="single" w:sz="4" w:space="0" w:color="auto"/>
              <w:right w:val="single" w:sz="4" w:space="0" w:color="FFFFFF"/>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2013 Load Impact (MW)</w:t>
            </w:r>
          </w:p>
        </w:tc>
        <w:tc>
          <w:tcPr>
            <w:tcW w:w="1260" w:type="dxa"/>
            <w:tcBorders>
              <w:top w:val="nil"/>
              <w:left w:val="nil"/>
              <w:bottom w:val="single" w:sz="4" w:space="0" w:color="auto"/>
              <w:right w:val="single" w:sz="4" w:space="0" w:color="000000"/>
            </w:tcBorders>
            <w:shd w:val="clear" w:color="000000" w:fill="0070D0"/>
            <w:vAlign w:val="center"/>
            <w:hideMark/>
          </w:tcPr>
          <w:p w:rsidR="00FA6960" w:rsidRPr="00FA6960" w:rsidRDefault="00FA6960" w:rsidP="00112253">
            <w:pPr>
              <w:spacing w:before="60" w:after="60" w:line="240" w:lineRule="auto"/>
              <w:jc w:val="center"/>
              <w:rPr>
                <w:rFonts w:ascii="Arial" w:eastAsia="Times New Roman" w:hAnsi="Arial" w:cs="Arial"/>
                <w:b/>
                <w:bCs/>
                <w:color w:val="FFFFFF"/>
                <w:sz w:val="18"/>
                <w:szCs w:val="18"/>
              </w:rPr>
            </w:pPr>
            <w:r w:rsidRPr="00FA6960">
              <w:rPr>
                <w:rFonts w:ascii="Arial" w:eastAsia="Times New Roman" w:hAnsi="Arial" w:cs="Arial"/>
                <w:b/>
                <w:bCs/>
                <w:color w:val="FFFFFF"/>
                <w:sz w:val="18"/>
                <w:szCs w:val="18"/>
              </w:rPr>
              <w:t>2014 Load Impact (MW)</w:t>
            </w:r>
          </w:p>
        </w:tc>
      </w:tr>
      <w:tr w:rsidR="00112253" w:rsidRPr="00FA6960" w:rsidTr="00F0706F">
        <w:trPr>
          <w:trHeight w:val="360"/>
          <w:jc w:val="center"/>
        </w:trPr>
        <w:tc>
          <w:tcPr>
            <w:tcW w:w="980" w:type="dxa"/>
            <w:vMerge w:val="restart"/>
            <w:tcBorders>
              <w:top w:val="nil"/>
              <w:left w:val="single" w:sz="4" w:space="0" w:color="auto"/>
              <w:bottom w:val="nil"/>
              <w:right w:val="single" w:sz="4" w:space="0" w:color="auto"/>
            </w:tcBorders>
            <w:shd w:val="clear" w:color="auto" w:fill="auto"/>
            <w:noWrap/>
            <w:vAlign w:val="center"/>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1-in-10</w:t>
            </w:r>
          </w:p>
        </w:tc>
        <w:tc>
          <w:tcPr>
            <w:tcW w:w="980" w:type="dxa"/>
            <w:tcBorders>
              <w:top w:val="nil"/>
              <w:left w:val="nil"/>
              <w:bottom w:val="single" w:sz="4" w:space="0" w:color="auto"/>
              <w:right w:val="single" w:sz="4" w:space="0" w:color="auto"/>
            </w:tcBorders>
            <w:shd w:val="clear" w:color="auto" w:fill="auto"/>
            <w:noWrap/>
            <w:vAlign w:val="bottom"/>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2015</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2,473</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2,560</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263.8</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241.8</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5.7%</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3.3%</w:t>
            </w:r>
          </w:p>
        </w:tc>
        <w:tc>
          <w:tcPr>
            <w:tcW w:w="1149"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37.1</w:t>
            </w:r>
          </w:p>
        </w:tc>
        <w:tc>
          <w:tcPr>
            <w:tcW w:w="1260"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20.3</w:t>
            </w:r>
          </w:p>
        </w:tc>
      </w:tr>
      <w:tr w:rsidR="00112253" w:rsidRPr="00FA6960" w:rsidTr="00F0706F">
        <w:trPr>
          <w:trHeight w:val="360"/>
          <w:jc w:val="center"/>
        </w:trPr>
        <w:tc>
          <w:tcPr>
            <w:tcW w:w="980" w:type="dxa"/>
            <w:vMerge/>
            <w:tcBorders>
              <w:top w:val="nil"/>
              <w:left w:val="single" w:sz="4" w:space="0" w:color="auto"/>
              <w:bottom w:val="nil"/>
              <w:right w:val="single" w:sz="4" w:space="0" w:color="auto"/>
            </w:tcBorders>
            <w:vAlign w:val="center"/>
            <w:hideMark/>
          </w:tcPr>
          <w:p w:rsidR="00112253" w:rsidRPr="00FA6960" w:rsidRDefault="00112253" w:rsidP="00112253">
            <w:pPr>
              <w:spacing w:before="60" w:after="60" w:line="240" w:lineRule="auto"/>
              <w:rPr>
                <w:rFonts w:ascii="Arial" w:eastAsia="Times New Roman" w:hAnsi="Arial" w:cs="Arial"/>
                <w:color w:val="000000"/>
                <w:sz w:val="18"/>
                <w:szCs w:val="18"/>
              </w:rPr>
            </w:pPr>
          </w:p>
        </w:tc>
        <w:tc>
          <w:tcPr>
            <w:tcW w:w="980" w:type="dxa"/>
            <w:tcBorders>
              <w:top w:val="nil"/>
              <w:left w:val="nil"/>
              <w:bottom w:val="single" w:sz="4" w:space="0" w:color="auto"/>
              <w:right w:val="single" w:sz="4" w:space="0" w:color="auto"/>
            </w:tcBorders>
            <w:shd w:val="clear" w:color="auto" w:fill="auto"/>
            <w:noWrap/>
            <w:vAlign w:val="bottom"/>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2016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2,473</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2,574</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263.8</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241.8</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5.7%</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3.3%</w:t>
            </w:r>
          </w:p>
        </w:tc>
        <w:tc>
          <w:tcPr>
            <w:tcW w:w="1149"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37.1</w:t>
            </w:r>
          </w:p>
        </w:tc>
        <w:tc>
          <w:tcPr>
            <w:tcW w:w="1260"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20.5</w:t>
            </w:r>
          </w:p>
        </w:tc>
      </w:tr>
      <w:tr w:rsidR="00112253" w:rsidRPr="00FA6960" w:rsidTr="00F0706F">
        <w:trPr>
          <w:trHeight w:val="360"/>
          <w:jc w:val="center"/>
        </w:trPr>
        <w:tc>
          <w:tcPr>
            <w:tcW w:w="9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1-in-2</w:t>
            </w:r>
          </w:p>
        </w:tc>
        <w:tc>
          <w:tcPr>
            <w:tcW w:w="980" w:type="dxa"/>
            <w:tcBorders>
              <w:top w:val="nil"/>
              <w:left w:val="nil"/>
              <w:bottom w:val="single" w:sz="4" w:space="0" w:color="auto"/>
              <w:right w:val="single" w:sz="4" w:space="0" w:color="auto"/>
            </w:tcBorders>
            <w:shd w:val="clear" w:color="auto" w:fill="auto"/>
            <w:noWrap/>
            <w:vAlign w:val="bottom"/>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2015</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2,473</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2,560</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257.6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235.2</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5.6%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3.5%</w:t>
            </w:r>
          </w:p>
        </w:tc>
        <w:tc>
          <w:tcPr>
            <w:tcW w:w="1149"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35.5</w:t>
            </w:r>
          </w:p>
        </w:tc>
        <w:tc>
          <w:tcPr>
            <w:tcW w:w="1260"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21.3</w:t>
            </w:r>
          </w:p>
        </w:tc>
      </w:tr>
      <w:tr w:rsidR="00112253" w:rsidRPr="00FA6960" w:rsidTr="00F0706F">
        <w:trPr>
          <w:trHeight w:val="360"/>
          <w:jc w:val="center"/>
        </w:trPr>
        <w:tc>
          <w:tcPr>
            <w:tcW w:w="980" w:type="dxa"/>
            <w:vMerge/>
            <w:tcBorders>
              <w:top w:val="single" w:sz="4" w:space="0" w:color="auto"/>
              <w:left w:val="single" w:sz="4" w:space="0" w:color="auto"/>
              <w:bottom w:val="single" w:sz="4" w:space="0" w:color="auto"/>
              <w:right w:val="single" w:sz="4" w:space="0" w:color="auto"/>
            </w:tcBorders>
            <w:vAlign w:val="center"/>
            <w:hideMark/>
          </w:tcPr>
          <w:p w:rsidR="00112253" w:rsidRPr="00FA6960" w:rsidRDefault="00112253" w:rsidP="00112253">
            <w:pPr>
              <w:spacing w:before="60" w:after="60" w:line="240" w:lineRule="auto"/>
              <w:rPr>
                <w:rFonts w:ascii="Arial" w:eastAsia="Times New Roman" w:hAnsi="Arial" w:cs="Arial"/>
                <w:color w:val="000000"/>
                <w:sz w:val="18"/>
                <w:szCs w:val="18"/>
              </w:rPr>
            </w:pPr>
          </w:p>
        </w:tc>
        <w:tc>
          <w:tcPr>
            <w:tcW w:w="980" w:type="dxa"/>
            <w:tcBorders>
              <w:top w:val="nil"/>
              <w:left w:val="nil"/>
              <w:bottom w:val="single" w:sz="4" w:space="0" w:color="auto"/>
              <w:right w:val="single" w:sz="4" w:space="0" w:color="auto"/>
            </w:tcBorders>
            <w:shd w:val="clear" w:color="auto" w:fill="auto"/>
            <w:noWrap/>
            <w:vAlign w:val="bottom"/>
            <w:hideMark/>
          </w:tcPr>
          <w:p w:rsidR="00112253" w:rsidRPr="00FA6960" w:rsidRDefault="00112253" w:rsidP="00112253">
            <w:pPr>
              <w:spacing w:before="60" w:after="60" w:line="240" w:lineRule="auto"/>
              <w:jc w:val="center"/>
              <w:rPr>
                <w:rFonts w:ascii="Arial" w:eastAsia="Times New Roman" w:hAnsi="Arial" w:cs="Arial"/>
                <w:color w:val="000000"/>
                <w:sz w:val="18"/>
                <w:szCs w:val="18"/>
              </w:rPr>
            </w:pPr>
            <w:r w:rsidRPr="00FA6960">
              <w:rPr>
                <w:rFonts w:ascii="Arial" w:eastAsia="Times New Roman" w:hAnsi="Arial" w:cs="Arial"/>
                <w:color w:val="000000"/>
                <w:sz w:val="18"/>
                <w:szCs w:val="18"/>
              </w:rPr>
              <w:t>2016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2,473</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2,574</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257.6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235.2</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5.6%</w:t>
            </w:r>
          </w:p>
        </w:tc>
        <w:tc>
          <w:tcPr>
            <w:tcW w:w="1067"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3.5%</w:t>
            </w:r>
          </w:p>
        </w:tc>
        <w:tc>
          <w:tcPr>
            <w:tcW w:w="1149"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35.5</w:t>
            </w:r>
          </w:p>
        </w:tc>
        <w:tc>
          <w:tcPr>
            <w:tcW w:w="1260" w:type="dxa"/>
            <w:tcBorders>
              <w:top w:val="nil"/>
              <w:left w:val="nil"/>
              <w:bottom w:val="single" w:sz="4" w:space="0" w:color="auto"/>
              <w:right w:val="single" w:sz="4" w:space="0" w:color="auto"/>
            </w:tcBorders>
            <w:shd w:val="clear" w:color="auto" w:fill="auto"/>
            <w:noWrap/>
            <w:vAlign w:val="bottom"/>
            <w:hideMark/>
          </w:tcPr>
          <w:p w:rsidR="00112253" w:rsidRPr="00112253" w:rsidRDefault="00112253" w:rsidP="00112253">
            <w:pPr>
              <w:spacing w:before="60" w:after="60"/>
              <w:jc w:val="center"/>
              <w:rPr>
                <w:rFonts w:ascii="Arial" w:hAnsi="Arial" w:cs="Arial"/>
                <w:color w:val="000000"/>
                <w:sz w:val="18"/>
                <w:szCs w:val="18"/>
              </w:rPr>
            </w:pPr>
            <w:r w:rsidRPr="00112253">
              <w:rPr>
                <w:rFonts w:ascii="Arial" w:hAnsi="Arial" w:cs="Arial"/>
                <w:color w:val="000000"/>
                <w:sz w:val="18"/>
                <w:szCs w:val="18"/>
              </w:rPr>
              <w:t>21.4</w:t>
            </w:r>
          </w:p>
        </w:tc>
      </w:tr>
    </w:tbl>
    <w:p w:rsidR="009A283D" w:rsidRDefault="009A283D" w:rsidP="009A283D">
      <w:pPr>
        <w:pStyle w:val="BodyParaAfterTableFigure"/>
      </w:pPr>
      <w:r>
        <w:t>A</w:t>
      </w:r>
      <w:r w:rsidRPr="0086716E">
        <w:t xml:space="preserve"> </w:t>
      </w:r>
      <w:r>
        <w:t xml:space="preserve">graphical </w:t>
      </w:r>
      <w:r w:rsidRPr="0086716E">
        <w:t xml:space="preserve">comparison between the </w:t>
      </w:r>
      <w:r>
        <w:t xml:space="preserve">summer </w:t>
      </w:r>
      <w:r w:rsidRPr="0086716E">
        <w:t>ex ante</w:t>
      </w:r>
      <w:r w:rsidRPr="00121359">
        <w:t xml:space="preserve"> load impacts for large C&amp;I customers as estimated in the 2013 and 2014 load impact evaluat</w:t>
      </w:r>
      <w:r>
        <w:t>ion is shown in Figure 7-5</w:t>
      </w:r>
      <w:proofErr w:type="gramStart"/>
      <w:r w:rsidRPr="00121359">
        <w:t xml:space="preserve">.  </w:t>
      </w:r>
      <w:proofErr w:type="gramEnd"/>
      <w:r w:rsidRPr="00121359">
        <w:t xml:space="preserve">The </w:t>
      </w:r>
      <w:r>
        <w:t>2013 ex ante estimates are higher</w:t>
      </w:r>
      <w:r w:rsidRPr="00121359">
        <w:t xml:space="preserve"> than those estimated this year</w:t>
      </w:r>
      <w:proofErr w:type="gramStart"/>
      <w:r w:rsidRPr="00121359">
        <w:t xml:space="preserve">.  </w:t>
      </w:r>
      <w:proofErr w:type="gramEnd"/>
      <w:r w:rsidRPr="00121359">
        <w:t>Last year’s estimates used a</w:t>
      </w:r>
      <w:r>
        <w:t> </w:t>
      </w:r>
      <w:r w:rsidRPr="00121359">
        <w:t>diffe</w:t>
      </w:r>
      <w:r>
        <w:t>rent estimating sample (the 2012 and 2013</w:t>
      </w:r>
      <w:r w:rsidRPr="00121359">
        <w:t xml:space="preserve"> CPP p</w:t>
      </w:r>
      <w:r>
        <w:t>ersistent customers), which delivered higher</w:t>
      </w:r>
      <w:r w:rsidRPr="00121359">
        <w:t xml:space="preserve"> percent reductions than the sample of persistent customers used in this year’s analysis</w:t>
      </w:r>
      <w:proofErr w:type="gramStart"/>
      <w:r w:rsidRPr="00121359">
        <w:t xml:space="preserve">.  </w:t>
      </w:r>
      <w:proofErr w:type="gramEnd"/>
      <w:r w:rsidRPr="00121359">
        <w:t>The</w:t>
      </w:r>
      <w:r>
        <w:t> </w:t>
      </w:r>
      <w:r w:rsidRPr="00121359">
        <w:t xml:space="preserve">2014 ex ante estimates </w:t>
      </w:r>
      <w:r>
        <w:t xml:space="preserve">also </w:t>
      </w:r>
      <w:r w:rsidRPr="00121359">
        <w:t xml:space="preserve">show </w:t>
      </w:r>
      <w:r>
        <w:t>more negative</w:t>
      </w:r>
      <w:r w:rsidRPr="00121359">
        <w:t xml:space="preserve"> relationship with temperature than the</w:t>
      </w:r>
      <w:r w:rsidR="00156F57">
        <w:t> </w:t>
      </w:r>
      <w:r w:rsidRPr="00121359">
        <w:t>estimates from 2013.</w:t>
      </w:r>
    </w:p>
    <w:p w:rsidR="009A283D" w:rsidRDefault="009A283D" w:rsidP="009A283D">
      <w:pPr>
        <w:pStyle w:val="TableFigureCaption"/>
        <w:rPr>
          <w:noProof/>
        </w:rPr>
      </w:pPr>
      <w:r>
        <w:t xml:space="preserve">Figure 7-5: Comparison of 2013 </w:t>
      </w:r>
      <w:proofErr w:type="gramStart"/>
      <w:r>
        <w:t>Ex</w:t>
      </w:r>
      <w:proofErr w:type="gramEnd"/>
      <w:r>
        <w:t xml:space="preserve"> Ante Load Impacts to 2014 Ex </w:t>
      </w:r>
      <w:r w:rsidRPr="00DA0B27">
        <w:t xml:space="preserve">Ante </w:t>
      </w:r>
      <w:r>
        <w:br/>
        <w:t xml:space="preserve">Large C&amp;I Summer Months </w:t>
      </w:r>
      <w:r w:rsidRPr="00DA0B27">
        <w:t>Load Impacts vs. Temperature</w:t>
      </w:r>
      <w:r>
        <w:t xml:space="preserve"> </w:t>
      </w:r>
    </w:p>
    <w:p w:rsidR="009A283D" w:rsidRDefault="00855827" w:rsidP="00855827">
      <w:pPr>
        <w:pStyle w:val="BodyParagraph"/>
        <w:rPr>
          <w:highlight w:val="yellow"/>
        </w:rPr>
      </w:pPr>
      <w:r>
        <w:rPr>
          <w:noProof/>
        </w:rPr>
        <w:drawing>
          <wp:inline distT="0" distB="0" distL="0" distR="0" wp14:anchorId="0D1B3FC7" wp14:editId="696A798D">
            <wp:extent cx="5943600" cy="3239135"/>
            <wp:effectExtent l="0" t="0" r="0" b="0"/>
            <wp:docPr id="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943600" cy="3239135"/>
                    </a:xfrm>
                    <a:prstGeom prst="rect">
                      <a:avLst/>
                    </a:prstGeom>
                    <a:noFill/>
                    <a:extLst/>
                  </pic:spPr>
                </pic:pic>
              </a:graphicData>
            </a:graphic>
          </wp:inline>
        </w:drawing>
      </w:r>
    </w:p>
    <w:p w:rsidR="009A283D" w:rsidRDefault="009A283D" w:rsidP="009A283D">
      <w:pPr>
        <w:pStyle w:val="Heading3"/>
      </w:pPr>
      <w:bookmarkStart w:id="220" w:name="_Toc415494795"/>
      <w:r>
        <w:t>Relationship between Ex Post and Ex Ante Estimates</w:t>
      </w:r>
      <w:bookmarkEnd w:id="220"/>
    </w:p>
    <w:p w:rsidR="009A283D" w:rsidRPr="00474A2F" w:rsidRDefault="009A283D" w:rsidP="009A283D">
      <w:pPr>
        <w:pStyle w:val="BodyParagraph"/>
        <w:rPr>
          <w:color w:val="auto"/>
        </w:rPr>
      </w:pPr>
      <w:r w:rsidRPr="00474A2F">
        <w:rPr>
          <w:color w:val="auto"/>
        </w:rPr>
        <w:t xml:space="preserve">The ex post </w:t>
      </w:r>
      <w:r w:rsidR="002A1BB0">
        <w:rPr>
          <w:color w:val="auto"/>
        </w:rPr>
        <w:t>estimates presented in Section 6</w:t>
      </w:r>
      <w:r w:rsidRPr="00474A2F">
        <w:rPr>
          <w:color w:val="auto"/>
        </w:rPr>
        <w:t xml:space="preserve"> and the </w:t>
      </w:r>
      <w:proofErr w:type="spellStart"/>
      <w:r w:rsidRPr="00474A2F">
        <w:rPr>
          <w:color w:val="auto"/>
        </w:rPr>
        <w:t>ex ante</w:t>
      </w:r>
      <w:proofErr w:type="spellEnd"/>
      <w:r w:rsidRPr="00474A2F">
        <w:rPr>
          <w:color w:val="auto"/>
        </w:rPr>
        <w:t xml:space="preserve"> estimates presented in this section differ for a number of reasons, including differences in weather, enrollment, event </w:t>
      </w:r>
      <w:r w:rsidRPr="00474A2F">
        <w:rPr>
          <w:color w:val="auto"/>
        </w:rPr>
        <w:lastRenderedPageBreak/>
        <w:t>window and estimation methodology</w:t>
      </w:r>
      <w:proofErr w:type="gramStart"/>
      <w:r w:rsidRPr="00474A2F">
        <w:rPr>
          <w:color w:val="auto"/>
        </w:rPr>
        <w:t xml:space="preserve">.  </w:t>
      </w:r>
      <w:proofErr w:type="gramEnd"/>
      <w:r w:rsidRPr="00474A2F">
        <w:rPr>
          <w:color w:val="auto"/>
        </w:rPr>
        <w:t>This section discusses the impact of each of these factors on the difference between ex post and ex ante impact estimates.</w:t>
      </w:r>
    </w:p>
    <w:p w:rsidR="009A283D" w:rsidRPr="00474A2F" w:rsidRDefault="009829C3" w:rsidP="009A283D">
      <w:pPr>
        <w:pStyle w:val="BodyParagraph"/>
        <w:rPr>
          <w:color w:val="auto"/>
        </w:rPr>
        <w:sectPr w:rsidR="009A283D" w:rsidRPr="00474A2F" w:rsidSect="003B398F">
          <w:footerReference w:type="default" r:id="rId78"/>
          <w:pgSz w:w="12240" w:h="15840"/>
          <w:pgMar w:top="1440" w:right="1440" w:bottom="1440" w:left="1440" w:header="720" w:footer="720" w:gutter="0"/>
          <w:cols w:space="720"/>
          <w:docGrid w:linePitch="360"/>
        </w:sectPr>
      </w:pPr>
      <w:r>
        <w:rPr>
          <w:rFonts w:cs="Arial"/>
          <w:color w:val="auto"/>
        </w:rPr>
        <w:t>Table 7-</w:t>
      </w:r>
      <w:r w:rsidR="009A283D" w:rsidRPr="00474A2F">
        <w:rPr>
          <w:rFonts w:cs="Arial"/>
          <w:color w:val="auto"/>
        </w:rPr>
        <w:t>7 summarizes the key factors that lead to differences between ex post and ex ante estimates for CPP and the expected influence that these factors have on the relationship between ex post and ex ante impacts</w:t>
      </w:r>
      <w:proofErr w:type="gramStart"/>
      <w:r w:rsidR="009A283D" w:rsidRPr="00474A2F">
        <w:rPr>
          <w:rFonts w:cs="Arial"/>
          <w:color w:val="auto"/>
        </w:rPr>
        <w:t xml:space="preserve">.  </w:t>
      </w:r>
      <w:proofErr w:type="gramEnd"/>
      <w:r w:rsidR="00F211FC">
        <w:rPr>
          <w:rFonts w:cs="Arial"/>
          <w:color w:val="auto"/>
        </w:rPr>
        <w:t xml:space="preserve">CPP load impacts at SCE are not particularly </w:t>
      </w:r>
      <w:r w:rsidR="009A283D" w:rsidRPr="00474A2F">
        <w:rPr>
          <w:rFonts w:cs="Arial"/>
          <w:color w:val="auto"/>
        </w:rPr>
        <w:t>sensitive to</w:t>
      </w:r>
      <w:r w:rsidR="00156F57">
        <w:rPr>
          <w:rFonts w:cs="Arial"/>
          <w:color w:val="auto"/>
        </w:rPr>
        <w:t> </w:t>
      </w:r>
      <w:r w:rsidR="009A283D" w:rsidRPr="00474A2F">
        <w:rPr>
          <w:rFonts w:cs="Arial"/>
          <w:color w:val="auto"/>
        </w:rPr>
        <w:t>variation in weather</w:t>
      </w:r>
      <w:r w:rsidR="00F211FC">
        <w:rPr>
          <w:rFonts w:cs="Arial"/>
          <w:color w:val="auto"/>
        </w:rPr>
        <w:t>; the temperature relationship was negative and not particularly strong</w:t>
      </w:r>
      <w:proofErr w:type="gramStart"/>
      <w:r w:rsidR="009A283D" w:rsidRPr="00474A2F">
        <w:rPr>
          <w:rFonts w:cs="Arial"/>
          <w:color w:val="auto"/>
        </w:rPr>
        <w:t xml:space="preserve">.  </w:t>
      </w:r>
      <w:proofErr w:type="gramEnd"/>
      <w:r w:rsidR="009A283D" w:rsidRPr="00474A2F">
        <w:rPr>
          <w:rFonts w:cs="Arial"/>
          <w:color w:val="auto"/>
        </w:rPr>
        <w:t>For the typical event day, ex ante impacts</w:t>
      </w:r>
      <w:r w:rsidR="00F211FC">
        <w:rPr>
          <w:rFonts w:cs="Arial"/>
          <w:color w:val="auto"/>
        </w:rPr>
        <w:t xml:space="preserve"> based on </w:t>
      </w:r>
      <w:r w:rsidR="00CC545C">
        <w:rPr>
          <w:rFonts w:cs="Arial"/>
          <w:color w:val="auto"/>
        </w:rPr>
        <w:t>1-in-2 year weather for both SC</w:t>
      </w:r>
      <w:r w:rsidR="00F211FC">
        <w:rPr>
          <w:rFonts w:cs="Arial"/>
          <w:color w:val="auto"/>
        </w:rPr>
        <w:t>E and CAISO weather scenarios are very similar to those based on ex post weather</w:t>
      </w:r>
      <w:proofErr w:type="gramStart"/>
      <w:r w:rsidR="009A283D" w:rsidRPr="00474A2F">
        <w:rPr>
          <w:rFonts w:cs="Arial"/>
          <w:color w:val="auto"/>
        </w:rPr>
        <w:t xml:space="preserve">.  </w:t>
      </w:r>
      <w:proofErr w:type="gramEnd"/>
      <w:r w:rsidR="00F211FC">
        <w:rPr>
          <w:rFonts w:cs="Arial"/>
          <w:color w:val="auto"/>
        </w:rPr>
        <w:t xml:space="preserve">Impacts based on </w:t>
      </w:r>
      <w:r w:rsidR="002A1BB0">
        <w:rPr>
          <w:rFonts w:cs="Arial"/>
          <w:color w:val="auto"/>
        </w:rPr>
        <w:t>1-in-10 year weather are about 4</w:t>
      </w:r>
      <w:r w:rsidR="00F211FC">
        <w:rPr>
          <w:rFonts w:cs="Arial"/>
          <w:color w:val="auto"/>
        </w:rPr>
        <w:t>% lower.</w:t>
      </w:r>
    </w:p>
    <w:p w:rsidR="009A283D" w:rsidRPr="00474A2F" w:rsidRDefault="009829C3" w:rsidP="009A283D">
      <w:pPr>
        <w:pStyle w:val="TableFigureCaption"/>
      </w:pPr>
      <w:r>
        <w:lastRenderedPageBreak/>
        <w:t>Table 7</w:t>
      </w:r>
      <w:r w:rsidR="009A283D" w:rsidRPr="00474A2F">
        <w:t>-7:  Summary of Factors Underlying Differences between Ex Post and Ex Ante Impacts for the Default CPP Customers for the Ex Ante Typical Event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474A2F" w:rsidRPr="00474A2F" w:rsidTr="006D677D">
        <w:trPr>
          <w:trHeight w:val="525"/>
        </w:trPr>
        <w:tc>
          <w:tcPr>
            <w:tcW w:w="1458" w:type="dxa"/>
            <w:tcBorders>
              <w:bottom w:val="single" w:sz="4" w:space="0" w:color="auto"/>
              <w:right w:val="single" w:sz="4" w:space="0" w:color="FFFFFF" w:themeColor="background1"/>
            </w:tcBorders>
            <w:shd w:val="clear" w:color="auto" w:fill="0070CD"/>
            <w:vAlign w:val="center"/>
            <w:hideMark/>
          </w:tcPr>
          <w:p w:rsidR="009A283D" w:rsidRPr="000C0967" w:rsidRDefault="009A283D" w:rsidP="006D677D">
            <w:pPr>
              <w:pStyle w:val="TableHeader"/>
              <w:rPr>
                <w:rFonts w:cs="Arial"/>
              </w:rPr>
            </w:pPr>
            <w:r w:rsidRPr="000C0967">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0C0967" w:rsidRDefault="009A283D" w:rsidP="006D677D">
            <w:pPr>
              <w:pStyle w:val="TableHeader"/>
              <w:rPr>
                <w:rFonts w:cs="Arial"/>
              </w:rPr>
            </w:pPr>
            <w:r w:rsidRPr="000C0967">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0C0967" w:rsidRDefault="009A283D" w:rsidP="006D677D">
            <w:pPr>
              <w:pStyle w:val="TableHeader"/>
              <w:rPr>
                <w:rFonts w:cs="Arial"/>
              </w:rPr>
            </w:pPr>
            <w:r w:rsidRPr="000C0967">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9A283D" w:rsidRPr="000C0967" w:rsidRDefault="009A283D" w:rsidP="006D677D">
            <w:pPr>
              <w:pStyle w:val="TableHeader"/>
              <w:rPr>
                <w:rFonts w:cs="Arial"/>
              </w:rPr>
            </w:pPr>
            <w:r w:rsidRPr="000C0967">
              <w:rPr>
                <w:rFonts w:cs="Arial"/>
              </w:rPr>
              <w:t>Expected Impact</w:t>
            </w:r>
          </w:p>
        </w:tc>
      </w:tr>
      <w:tr w:rsidR="00474A2F" w:rsidRPr="00474A2F" w:rsidTr="006D677D">
        <w:trPr>
          <w:trHeight w:val="1824"/>
        </w:trPr>
        <w:tc>
          <w:tcPr>
            <w:tcW w:w="1458" w:type="dxa"/>
            <w:shd w:val="clear" w:color="auto" w:fill="FFFFFF" w:themeFill="background1"/>
            <w:noWrap/>
            <w:vAlign w:val="center"/>
            <w:hideMark/>
          </w:tcPr>
          <w:p w:rsidR="009A283D" w:rsidRPr="00474A2F" w:rsidRDefault="009A283D" w:rsidP="006D677D">
            <w:pPr>
              <w:pStyle w:val="TableText"/>
              <w:spacing w:before="100" w:after="100"/>
              <w:contextualSpacing/>
              <w:rPr>
                <w:rFonts w:cs="Arial"/>
                <w:highlight w:val="lightGray"/>
              </w:rPr>
            </w:pPr>
            <w:r w:rsidRPr="00474A2F">
              <w:rPr>
                <w:rFonts w:cs="Arial"/>
              </w:rPr>
              <w:t>Weather</w:t>
            </w:r>
          </w:p>
        </w:tc>
        <w:tc>
          <w:tcPr>
            <w:tcW w:w="3330" w:type="dxa"/>
            <w:shd w:val="clear" w:color="auto" w:fill="FFFFFF" w:themeFill="background1"/>
            <w:noWrap/>
            <w:vAlign w:val="center"/>
            <w:hideMark/>
          </w:tcPr>
          <w:p w:rsidR="009A283D" w:rsidRPr="00474A2F" w:rsidRDefault="009A283D" w:rsidP="008028DC">
            <w:pPr>
              <w:pStyle w:val="TableText"/>
              <w:spacing w:before="100" w:after="100"/>
              <w:contextualSpacing/>
              <w:jc w:val="left"/>
              <w:rPr>
                <w:rFonts w:cs="Arial"/>
              </w:rPr>
            </w:pPr>
            <w:r w:rsidRPr="00474A2F">
              <w:rPr>
                <w:rFonts w:cs="Arial"/>
              </w:rPr>
              <w:t>Default CPP customers:</w:t>
            </w:r>
          </w:p>
          <w:p w:rsidR="009A283D" w:rsidRPr="00474A2F" w:rsidRDefault="000C0967" w:rsidP="008028DC">
            <w:pPr>
              <w:pStyle w:val="TableText"/>
              <w:spacing w:before="100" w:after="100"/>
              <w:contextualSpacing/>
              <w:jc w:val="left"/>
              <w:rPr>
                <w:rFonts w:cs="Arial"/>
              </w:rPr>
            </w:pPr>
            <w:r>
              <w:rPr>
                <w:rFonts w:cs="Arial"/>
              </w:rPr>
              <w:t>70 &lt; event day mean17 &lt; 84</w:t>
            </w:r>
          </w:p>
          <w:p w:rsidR="009A283D" w:rsidRPr="00474A2F" w:rsidRDefault="000C0967" w:rsidP="008028DC">
            <w:pPr>
              <w:pStyle w:val="TableText"/>
              <w:spacing w:before="100" w:after="100"/>
              <w:contextualSpacing/>
              <w:jc w:val="left"/>
              <w:rPr>
                <w:rFonts w:cs="Arial"/>
              </w:rPr>
            </w:pPr>
            <w:r>
              <w:rPr>
                <w:rFonts w:cs="Arial"/>
              </w:rPr>
              <w:t>Average event day mean17 = 76</w:t>
            </w:r>
          </w:p>
          <w:p w:rsidR="009A283D" w:rsidRPr="00474A2F" w:rsidRDefault="009A283D" w:rsidP="008028DC">
            <w:pPr>
              <w:pStyle w:val="TableText"/>
              <w:spacing w:before="100" w:after="100"/>
              <w:contextualSpacing/>
              <w:jc w:val="left"/>
              <w:rPr>
                <w:rFonts w:cs="Arial"/>
                <w:highlight w:val="lightGray"/>
              </w:rPr>
            </w:pPr>
          </w:p>
        </w:tc>
        <w:tc>
          <w:tcPr>
            <w:tcW w:w="495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Program specific mean17 for 1-in-2 typical e</w:t>
            </w:r>
            <w:r w:rsidR="000C0967">
              <w:rPr>
                <w:rFonts w:cs="Arial"/>
              </w:rPr>
              <w:t>vent day = 75.9 and 77.2 for SC</w:t>
            </w:r>
            <w:r w:rsidRPr="00474A2F">
              <w:rPr>
                <w:rFonts w:cs="Arial"/>
              </w:rPr>
              <w:t>E and CAISO weather, respectively</w:t>
            </w:r>
          </w:p>
          <w:p w:rsidR="009A283D" w:rsidRPr="00474A2F" w:rsidRDefault="009A283D" w:rsidP="008028DC">
            <w:pPr>
              <w:pStyle w:val="TableText"/>
              <w:spacing w:before="100" w:after="100"/>
              <w:contextualSpacing/>
              <w:jc w:val="left"/>
              <w:rPr>
                <w:rFonts w:cs="Arial"/>
              </w:rPr>
            </w:pPr>
            <w:r w:rsidRPr="00474A2F">
              <w:rPr>
                <w:rFonts w:cs="Arial"/>
              </w:rPr>
              <w:t>Program specific mean17 for 1-in-10 typical e</w:t>
            </w:r>
            <w:r w:rsidR="000C0967">
              <w:rPr>
                <w:rFonts w:cs="Arial"/>
              </w:rPr>
              <w:t>vent day = 80.3 and 80.1 for SC</w:t>
            </w:r>
            <w:r w:rsidRPr="00474A2F">
              <w:rPr>
                <w:rFonts w:cs="Arial"/>
              </w:rPr>
              <w:t>E and CAISO weather, respectively</w:t>
            </w:r>
          </w:p>
        </w:tc>
        <w:tc>
          <w:tcPr>
            <w:tcW w:w="333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Ex ante estimates are s</w:t>
            </w:r>
            <w:r w:rsidR="000C0967">
              <w:rPr>
                <w:rFonts w:cs="Arial"/>
              </w:rPr>
              <w:t>ensitive to variation in mean17, but ex ante conditions are similar to ex post conditions, so ex ante impacts will be similar.</w:t>
            </w:r>
          </w:p>
        </w:tc>
      </w:tr>
      <w:tr w:rsidR="00474A2F" w:rsidRPr="00474A2F" w:rsidTr="006D677D">
        <w:trPr>
          <w:trHeight w:val="1150"/>
        </w:trPr>
        <w:tc>
          <w:tcPr>
            <w:tcW w:w="1458" w:type="dxa"/>
            <w:shd w:val="clear" w:color="auto" w:fill="FFFFFF" w:themeFill="background1"/>
            <w:noWrap/>
            <w:vAlign w:val="center"/>
            <w:hideMark/>
          </w:tcPr>
          <w:p w:rsidR="009A283D" w:rsidRPr="00474A2F" w:rsidRDefault="009A283D" w:rsidP="006D677D">
            <w:pPr>
              <w:pStyle w:val="TableText"/>
              <w:spacing w:before="100" w:after="100"/>
              <w:contextualSpacing/>
              <w:rPr>
                <w:rFonts w:cs="Arial"/>
              </w:rPr>
            </w:pPr>
            <w:r w:rsidRPr="00474A2F">
              <w:rPr>
                <w:rFonts w:cs="Arial"/>
              </w:rPr>
              <w:t>Event window</w:t>
            </w:r>
          </w:p>
        </w:tc>
        <w:tc>
          <w:tcPr>
            <w:tcW w:w="3330" w:type="dxa"/>
            <w:shd w:val="clear" w:color="auto" w:fill="FFFFFF" w:themeFill="background1"/>
            <w:noWrap/>
            <w:vAlign w:val="center"/>
            <w:hideMark/>
          </w:tcPr>
          <w:p w:rsidR="009A283D" w:rsidRPr="00474A2F" w:rsidRDefault="009A283D" w:rsidP="008028DC">
            <w:pPr>
              <w:pStyle w:val="TableText"/>
              <w:spacing w:before="100" w:after="100"/>
              <w:contextualSpacing/>
              <w:jc w:val="left"/>
              <w:rPr>
                <w:rFonts w:cs="Arial"/>
              </w:rPr>
            </w:pPr>
            <w:r w:rsidRPr="00474A2F">
              <w:rPr>
                <w:rFonts w:cs="Arial"/>
              </w:rPr>
              <w:t>All events called from 2 to 6 PM</w:t>
            </w:r>
          </w:p>
        </w:tc>
        <w:tc>
          <w:tcPr>
            <w:tcW w:w="495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Common ex ante event window is 5 hours, from 1 to 6 PM,</w:t>
            </w:r>
            <w:r w:rsidR="0041243E">
              <w:rPr>
                <w:rFonts w:cs="Arial"/>
              </w:rPr>
              <w:t xml:space="preserve"> and 1 to 2 PM impact is much closer to zero than</w:t>
            </w:r>
            <w:r w:rsidRPr="00474A2F">
              <w:rPr>
                <w:rFonts w:cs="Arial"/>
              </w:rPr>
              <w:t xml:space="preserve"> that from 2 to 3 PM</w:t>
            </w:r>
            <w:r w:rsidR="0041243E">
              <w:rPr>
                <w:rFonts w:cs="Arial"/>
              </w:rPr>
              <w:t>.</w:t>
            </w:r>
          </w:p>
        </w:tc>
        <w:tc>
          <w:tcPr>
            <w:tcW w:w="333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Average</w:t>
            </w:r>
            <w:r w:rsidR="0041243E">
              <w:rPr>
                <w:rFonts w:cs="Arial"/>
              </w:rPr>
              <w:t xml:space="preserve"> ex ante impacts will be about 20% lower.</w:t>
            </w:r>
          </w:p>
        </w:tc>
      </w:tr>
      <w:tr w:rsidR="00474A2F" w:rsidRPr="00474A2F" w:rsidTr="006D677D">
        <w:trPr>
          <w:trHeight w:val="772"/>
        </w:trPr>
        <w:tc>
          <w:tcPr>
            <w:tcW w:w="1458" w:type="dxa"/>
            <w:shd w:val="clear" w:color="auto" w:fill="FFFFFF" w:themeFill="background1"/>
            <w:noWrap/>
            <w:vAlign w:val="center"/>
            <w:hideMark/>
          </w:tcPr>
          <w:p w:rsidR="009A283D" w:rsidRPr="00474A2F" w:rsidRDefault="009A283D" w:rsidP="006D677D">
            <w:pPr>
              <w:pStyle w:val="TableText"/>
              <w:spacing w:before="100" w:after="100"/>
              <w:contextualSpacing/>
              <w:rPr>
                <w:rFonts w:cs="Arial"/>
              </w:rPr>
            </w:pPr>
            <w:r w:rsidRPr="00474A2F">
              <w:rPr>
                <w:rFonts w:cs="Arial"/>
              </w:rPr>
              <w:t>Enrollment</w:t>
            </w:r>
          </w:p>
        </w:tc>
        <w:tc>
          <w:tcPr>
            <w:tcW w:w="3330" w:type="dxa"/>
            <w:shd w:val="clear" w:color="auto" w:fill="FFFFFF" w:themeFill="background1"/>
            <w:noWrap/>
            <w:vAlign w:val="center"/>
            <w:hideMark/>
          </w:tcPr>
          <w:p w:rsidR="009A283D" w:rsidRPr="00474A2F" w:rsidRDefault="009A283D" w:rsidP="008028DC">
            <w:pPr>
              <w:pStyle w:val="TableText"/>
              <w:spacing w:before="100" w:after="100"/>
              <w:contextualSpacing/>
              <w:jc w:val="left"/>
              <w:rPr>
                <w:rFonts w:cs="Arial"/>
              </w:rPr>
            </w:pPr>
            <w:r w:rsidRPr="00474A2F">
              <w:rPr>
                <w:rFonts w:cs="Arial"/>
              </w:rPr>
              <w:t>Enrollment remained fairly constant over the 2014 summer</w:t>
            </w:r>
          </w:p>
        </w:tc>
        <w:tc>
          <w:tcPr>
            <w:tcW w:w="4950" w:type="dxa"/>
            <w:shd w:val="clear" w:color="auto" w:fill="FFFFFF" w:themeFill="background1"/>
            <w:vAlign w:val="center"/>
            <w:hideMark/>
          </w:tcPr>
          <w:p w:rsidR="009A283D" w:rsidRPr="00474A2F" w:rsidRDefault="009A283D" w:rsidP="002A1BB0">
            <w:pPr>
              <w:pStyle w:val="TableText"/>
              <w:spacing w:before="100" w:after="100"/>
              <w:contextualSpacing/>
              <w:jc w:val="left"/>
              <w:rPr>
                <w:rFonts w:cs="Arial"/>
              </w:rPr>
            </w:pPr>
            <w:r w:rsidRPr="00474A2F">
              <w:rPr>
                <w:rFonts w:cs="Arial"/>
              </w:rPr>
              <w:t>2015 enrol</w:t>
            </w:r>
            <w:r w:rsidR="002A1BB0">
              <w:rPr>
                <w:rFonts w:cs="Arial"/>
              </w:rPr>
              <w:t>lment is similar</w:t>
            </w:r>
          </w:p>
        </w:tc>
        <w:tc>
          <w:tcPr>
            <w:tcW w:w="3330" w:type="dxa"/>
            <w:shd w:val="clear" w:color="auto" w:fill="FFFFFF" w:themeFill="background1"/>
            <w:vAlign w:val="center"/>
            <w:hideMark/>
          </w:tcPr>
          <w:p w:rsidR="009A283D" w:rsidRPr="00474A2F" w:rsidRDefault="009A283D" w:rsidP="002A1BB0">
            <w:pPr>
              <w:pStyle w:val="TableText"/>
              <w:spacing w:before="100" w:after="100"/>
              <w:contextualSpacing/>
              <w:jc w:val="left"/>
              <w:rPr>
                <w:rFonts w:cs="Arial"/>
              </w:rPr>
            </w:pPr>
            <w:r w:rsidRPr="00474A2F">
              <w:rPr>
                <w:rFonts w:cs="Arial"/>
              </w:rPr>
              <w:t>Ex</w:t>
            </w:r>
            <w:r w:rsidR="000C0967">
              <w:rPr>
                <w:rFonts w:cs="Arial"/>
              </w:rPr>
              <w:t xml:space="preserve"> ante estimates will </w:t>
            </w:r>
            <w:r w:rsidR="002A1BB0">
              <w:rPr>
                <w:rFonts w:cs="Arial"/>
              </w:rPr>
              <w:t>not be significantly impacted by changes in enrollment</w:t>
            </w:r>
          </w:p>
        </w:tc>
      </w:tr>
      <w:tr w:rsidR="00474A2F" w:rsidRPr="00474A2F" w:rsidTr="008028DC">
        <w:trPr>
          <w:trHeight w:val="1808"/>
        </w:trPr>
        <w:tc>
          <w:tcPr>
            <w:tcW w:w="1458" w:type="dxa"/>
            <w:shd w:val="clear" w:color="auto" w:fill="FFFFFF" w:themeFill="background1"/>
            <w:noWrap/>
            <w:vAlign w:val="center"/>
            <w:hideMark/>
          </w:tcPr>
          <w:p w:rsidR="009A283D" w:rsidRPr="00474A2F" w:rsidRDefault="009A283D" w:rsidP="006D677D">
            <w:pPr>
              <w:pStyle w:val="TableText"/>
              <w:spacing w:before="100" w:after="100"/>
              <w:contextualSpacing/>
              <w:rPr>
                <w:rFonts w:cs="Arial"/>
              </w:rPr>
            </w:pPr>
            <w:r w:rsidRPr="00474A2F">
              <w:rPr>
                <w:rFonts w:cs="Arial"/>
              </w:rPr>
              <w:t>Methodology</w:t>
            </w:r>
          </w:p>
        </w:tc>
        <w:tc>
          <w:tcPr>
            <w:tcW w:w="333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2014 impacts based on combination of matched control groups and individual customer regressions</w:t>
            </w:r>
          </w:p>
        </w:tc>
        <w:tc>
          <w:tcPr>
            <w:tcW w:w="4950" w:type="dxa"/>
            <w:shd w:val="clear" w:color="auto" w:fill="FFFFFF" w:themeFill="background1"/>
            <w:vAlign w:val="center"/>
            <w:hideMark/>
          </w:tcPr>
          <w:p w:rsidR="009A283D" w:rsidRPr="00474A2F" w:rsidRDefault="009A283D" w:rsidP="008028DC">
            <w:pPr>
              <w:pStyle w:val="TableText"/>
              <w:spacing w:before="100" w:after="100"/>
              <w:contextualSpacing/>
              <w:jc w:val="left"/>
              <w:rPr>
                <w:rFonts w:cs="Arial"/>
              </w:rPr>
            </w:pPr>
            <w:r w:rsidRPr="00474A2F">
              <w:rPr>
                <w:rFonts w:cs="Arial"/>
              </w:rPr>
              <w:t>Impacts: regression of ex post percent impacts against mean17 for each hour using two years’ worth of ex post impacts for persistent customers</w:t>
            </w:r>
          </w:p>
          <w:p w:rsidR="009A283D" w:rsidRPr="00474A2F" w:rsidRDefault="009A283D" w:rsidP="008028DC">
            <w:pPr>
              <w:pStyle w:val="TableText"/>
              <w:spacing w:before="100" w:after="100"/>
              <w:contextualSpacing/>
              <w:jc w:val="left"/>
              <w:rPr>
                <w:rFonts w:cs="Arial"/>
              </w:rPr>
            </w:pPr>
            <w:r w:rsidRPr="00474A2F">
              <w:rPr>
                <w:rFonts w:cs="Arial"/>
              </w:rPr>
              <w:t>Reference Load: regression of kW against mean17 and date variables for each hour using large ex ante population from January 2015</w:t>
            </w:r>
          </w:p>
        </w:tc>
        <w:tc>
          <w:tcPr>
            <w:tcW w:w="3330" w:type="dxa"/>
            <w:shd w:val="clear" w:color="auto" w:fill="FFFFFF" w:themeFill="background1"/>
            <w:vAlign w:val="center"/>
            <w:hideMark/>
          </w:tcPr>
          <w:p w:rsidR="000C0967" w:rsidRPr="00474A2F" w:rsidRDefault="009A283D" w:rsidP="008028DC">
            <w:pPr>
              <w:pStyle w:val="TableText"/>
              <w:spacing w:before="100" w:after="100"/>
              <w:contextualSpacing/>
              <w:jc w:val="left"/>
              <w:rPr>
                <w:rFonts w:cs="Arial"/>
              </w:rPr>
            </w:pPr>
            <w:r w:rsidRPr="00474A2F">
              <w:rPr>
                <w:rFonts w:cs="Arial"/>
              </w:rPr>
              <w:t>Pooled impacts from 2013 and 2014 for persist</w:t>
            </w:r>
            <w:r w:rsidR="000C0967">
              <w:rPr>
                <w:rFonts w:cs="Arial"/>
              </w:rPr>
              <w:t>ent customers exhibit a similar temperature relationship to</w:t>
            </w:r>
            <w:r w:rsidRPr="00474A2F">
              <w:rPr>
                <w:rFonts w:cs="Arial"/>
              </w:rPr>
              <w:t xml:space="preserve"> those for all customers</w:t>
            </w:r>
            <w:r w:rsidR="00836D48">
              <w:rPr>
                <w:rFonts w:cs="Arial"/>
              </w:rPr>
              <w:t>, but percent impacts are lower</w:t>
            </w:r>
            <w:proofErr w:type="gramStart"/>
            <w:r w:rsidRPr="00474A2F">
              <w:rPr>
                <w:rFonts w:cs="Arial"/>
              </w:rPr>
              <w:t xml:space="preserve">.  </w:t>
            </w:r>
            <w:proofErr w:type="gramEnd"/>
            <w:r w:rsidRPr="00474A2F">
              <w:rPr>
                <w:rFonts w:cs="Arial"/>
              </w:rPr>
              <w:t>I</w:t>
            </w:r>
            <w:r w:rsidR="000C0967">
              <w:rPr>
                <w:rFonts w:cs="Arial"/>
              </w:rPr>
              <w:t xml:space="preserve">mpacts will be </w:t>
            </w:r>
            <w:r w:rsidR="00836D48">
              <w:rPr>
                <w:rFonts w:cs="Arial"/>
              </w:rPr>
              <w:t>lower</w:t>
            </w:r>
            <w:r w:rsidR="000C0967">
              <w:rPr>
                <w:rFonts w:cs="Arial"/>
              </w:rPr>
              <w:t>.</w:t>
            </w:r>
          </w:p>
          <w:p w:rsidR="009A283D" w:rsidRPr="00474A2F" w:rsidRDefault="009A283D" w:rsidP="008028DC">
            <w:pPr>
              <w:pStyle w:val="TableText"/>
              <w:spacing w:before="100" w:after="100"/>
              <w:contextualSpacing/>
              <w:jc w:val="left"/>
              <w:rPr>
                <w:rFonts w:cs="Arial"/>
              </w:rPr>
            </w:pPr>
          </w:p>
        </w:tc>
      </w:tr>
    </w:tbl>
    <w:p w:rsidR="009A283D" w:rsidRPr="00474A2F" w:rsidRDefault="009A283D" w:rsidP="009A283D">
      <w:pPr>
        <w:pStyle w:val="BodyParagraph"/>
        <w:rPr>
          <w:color w:val="auto"/>
        </w:rPr>
        <w:sectPr w:rsidR="009A283D" w:rsidRPr="00474A2F" w:rsidSect="00EA1C6D">
          <w:footerReference w:type="default" r:id="rId79"/>
          <w:pgSz w:w="15840" w:h="12240" w:orient="landscape"/>
          <w:pgMar w:top="1440" w:right="1440" w:bottom="1440" w:left="1440" w:header="720" w:footer="720" w:gutter="0"/>
          <w:cols w:space="720"/>
          <w:docGrid w:linePitch="360"/>
        </w:sectPr>
      </w:pPr>
    </w:p>
    <w:p w:rsidR="009A283D" w:rsidRPr="00474A2F" w:rsidRDefault="009829C3" w:rsidP="009A283D">
      <w:pPr>
        <w:pStyle w:val="BodyParagraph"/>
        <w:rPr>
          <w:color w:val="auto"/>
        </w:rPr>
      </w:pPr>
      <w:r>
        <w:rPr>
          <w:color w:val="auto"/>
        </w:rPr>
        <w:lastRenderedPageBreak/>
        <w:t>Table 7</w:t>
      </w:r>
      <w:r w:rsidR="009A283D" w:rsidRPr="00474A2F">
        <w:rPr>
          <w:color w:val="auto"/>
        </w:rPr>
        <w:t>-8 shows how aggregate load impacts change for large default CPP customers as a result of differences in the factors underlying ex post and ex ante estimates</w:t>
      </w:r>
      <w:proofErr w:type="gramStart"/>
      <w:r w:rsidR="009A283D" w:rsidRPr="00474A2F">
        <w:rPr>
          <w:color w:val="auto"/>
        </w:rPr>
        <w:t xml:space="preserve">.  </w:t>
      </w:r>
      <w:proofErr w:type="gramEnd"/>
      <w:r w:rsidR="009A283D" w:rsidRPr="00474A2F">
        <w:rPr>
          <w:color w:val="auto"/>
        </w:rPr>
        <w:t xml:space="preserve">The third column uses the 2014 </w:t>
      </w:r>
      <w:r w:rsidR="00AE4E7D">
        <w:rPr>
          <w:color w:val="auto"/>
        </w:rPr>
        <w:t>ex post impacts shown in Table 6</w:t>
      </w:r>
      <w:r w:rsidR="009A283D" w:rsidRPr="00474A2F">
        <w:rPr>
          <w:color w:val="auto"/>
        </w:rPr>
        <w:t>-1 and the projected enrollment for August 2015 to produce a scaled-up ex post imp</w:t>
      </w:r>
      <w:r w:rsidR="00F75CE5">
        <w:rPr>
          <w:color w:val="auto"/>
        </w:rPr>
        <w:t>act estimate</w:t>
      </w:r>
      <w:proofErr w:type="gramStart"/>
      <w:r w:rsidR="00F75CE5">
        <w:rPr>
          <w:color w:val="auto"/>
        </w:rPr>
        <w:t xml:space="preserve">.  </w:t>
      </w:r>
      <w:proofErr w:type="gramEnd"/>
      <w:r w:rsidR="00F75CE5">
        <w:rPr>
          <w:color w:val="auto"/>
        </w:rPr>
        <w:t>This leads to a slight decrease in load reductions of about 4</w:t>
      </w:r>
      <w:r w:rsidR="009A283D" w:rsidRPr="00474A2F">
        <w:rPr>
          <w:color w:val="auto"/>
        </w:rPr>
        <w:t>%</w:t>
      </w:r>
      <w:proofErr w:type="gramStart"/>
      <w:r w:rsidR="009A283D" w:rsidRPr="00474A2F">
        <w:rPr>
          <w:color w:val="auto"/>
        </w:rPr>
        <w:t xml:space="preserve">.  </w:t>
      </w:r>
      <w:proofErr w:type="gramEnd"/>
      <w:r w:rsidR="009A283D" w:rsidRPr="00474A2F">
        <w:rPr>
          <w:color w:val="auto"/>
        </w:rPr>
        <w:t xml:space="preserve">The next column shows what the </w:t>
      </w:r>
      <w:proofErr w:type="spellStart"/>
      <w:r w:rsidR="009A283D" w:rsidRPr="00474A2F">
        <w:rPr>
          <w:color w:val="auto"/>
        </w:rPr>
        <w:t>ex ante</w:t>
      </w:r>
      <w:proofErr w:type="spellEnd"/>
      <w:r w:rsidR="009A283D" w:rsidRPr="00474A2F">
        <w:rPr>
          <w:color w:val="auto"/>
        </w:rPr>
        <w:t xml:space="preserve"> model would produce using the same August 2015 enrollment figures and the ex post weather conditions for each ev</w:t>
      </w:r>
      <w:r>
        <w:rPr>
          <w:color w:val="auto"/>
        </w:rPr>
        <w:t>ent day</w:t>
      </w:r>
      <w:proofErr w:type="gramStart"/>
      <w:r>
        <w:rPr>
          <w:color w:val="auto"/>
        </w:rPr>
        <w:t xml:space="preserve">.  </w:t>
      </w:r>
      <w:proofErr w:type="gramEnd"/>
      <w:r>
        <w:rPr>
          <w:color w:val="auto"/>
        </w:rPr>
        <w:t xml:space="preserve">The </w:t>
      </w:r>
      <w:proofErr w:type="spellStart"/>
      <w:r>
        <w:rPr>
          <w:color w:val="auto"/>
        </w:rPr>
        <w:t>ex ante</w:t>
      </w:r>
      <w:proofErr w:type="spellEnd"/>
      <w:r>
        <w:rPr>
          <w:color w:val="auto"/>
        </w:rPr>
        <w:t xml:space="preserve"> model under</w:t>
      </w:r>
      <w:r w:rsidR="009A283D" w:rsidRPr="00474A2F">
        <w:rPr>
          <w:color w:val="auto"/>
        </w:rPr>
        <w:t xml:space="preserve"> predicts load r</w:t>
      </w:r>
      <w:r>
        <w:rPr>
          <w:color w:val="auto"/>
        </w:rPr>
        <w:t>eductions on average by about 3</w:t>
      </w:r>
      <w:r w:rsidR="009A283D" w:rsidRPr="00474A2F">
        <w:rPr>
          <w:color w:val="auto"/>
        </w:rPr>
        <w:t>% compared with the 2014 ex post impacts</w:t>
      </w:r>
      <w:proofErr w:type="gramStart"/>
      <w:r w:rsidR="009A283D" w:rsidRPr="00474A2F">
        <w:rPr>
          <w:color w:val="auto"/>
        </w:rPr>
        <w:t xml:space="preserve">.  </w:t>
      </w:r>
      <w:proofErr w:type="gramEnd"/>
      <w:r w:rsidR="009A283D" w:rsidRPr="00474A2F">
        <w:rPr>
          <w:color w:val="auto"/>
        </w:rPr>
        <w:t xml:space="preserve">As discussed </w:t>
      </w:r>
      <w:r w:rsidR="00156F57">
        <w:rPr>
          <w:color w:val="auto"/>
        </w:rPr>
        <w:t>earlier</w:t>
      </w:r>
      <w:r w:rsidR="009A283D" w:rsidRPr="00474A2F">
        <w:rPr>
          <w:color w:val="auto"/>
        </w:rPr>
        <w:t>, this is the result of estimating ex ante impacts using percent impacts from the persistent population’s 2013 and 2014 ex post values</w:t>
      </w:r>
      <w:proofErr w:type="gramStart"/>
      <w:r w:rsidR="009A283D" w:rsidRPr="00474A2F">
        <w:rPr>
          <w:color w:val="auto"/>
        </w:rPr>
        <w:t xml:space="preserve">.  </w:t>
      </w:r>
      <w:proofErr w:type="gramEnd"/>
      <w:r w:rsidR="00CA56BD">
        <w:rPr>
          <w:color w:val="auto"/>
        </w:rPr>
        <w:t>The fifth column shows impacts estimated over the RA event window, which includes a 1</w:t>
      </w:r>
      <w:r w:rsidR="00156F57">
        <w:rPr>
          <w:color w:val="auto"/>
        </w:rPr>
        <w:t xml:space="preserve"> to </w:t>
      </w:r>
      <w:r w:rsidR="00CA56BD">
        <w:rPr>
          <w:color w:val="auto"/>
        </w:rPr>
        <w:t>2 PM impact that is very close to zero, so impacts estimated over the RA event window are about 20% lower than those estimated over the 2</w:t>
      </w:r>
      <w:r w:rsidR="00156F57">
        <w:rPr>
          <w:color w:val="auto"/>
        </w:rPr>
        <w:t xml:space="preserve"> to </w:t>
      </w:r>
      <w:r w:rsidR="00CA56BD">
        <w:rPr>
          <w:color w:val="auto"/>
        </w:rPr>
        <w:t>6 PM window</w:t>
      </w:r>
      <w:proofErr w:type="gramStart"/>
      <w:r w:rsidR="00CA56BD">
        <w:rPr>
          <w:color w:val="auto"/>
        </w:rPr>
        <w:t xml:space="preserve">.  </w:t>
      </w:r>
      <w:proofErr w:type="gramEnd"/>
      <w:r w:rsidR="009A283D" w:rsidRPr="00474A2F">
        <w:rPr>
          <w:color w:val="auto"/>
        </w:rPr>
        <w:t>The final four columns show how aggregate load reductions vary with the different ex ante weather scenarios</w:t>
      </w:r>
      <w:proofErr w:type="gramStart"/>
      <w:r w:rsidR="009A283D" w:rsidRPr="00474A2F">
        <w:rPr>
          <w:color w:val="auto"/>
        </w:rPr>
        <w:t xml:space="preserve">.  </w:t>
      </w:r>
      <w:proofErr w:type="gramEnd"/>
      <w:r w:rsidR="009A283D" w:rsidRPr="00474A2F">
        <w:rPr>
          <w:color w:val="auto"/>
        </w:rPr>
        <w:t>On average across all event days, th</w:t>
      </w:r>
      <w:r>
        <w:rPr>
          <w:color w:val="auto"/>
        </w:rPr>
        <w:t>e impacts derived from the SCE</w:t>
      </w:r>
      <w:r w:rsidR="009A283D" w:rsidRPr="00474A2F">
        <w:rPr>
          <w:color w:val="auto"/>
        </w:rPr>
        <w:t xml:space="preserve"> 1-in-2 conditions are most similar to </w:t>
      </w:r>
      <w:r w:rsidR="00CC545C">
        <w:rPr>
          <w:color w:val="auto"/>
        </w:rPr>
        <w:t>those derived using the 2014 SC</w:t>
      </w:r>
      <w:r w:rsidR="009A283D" w:rsidRPr="00474A2F">
        <w:rPr>
          <w:color w:val="auto"/>
        </w:rPr>
        <w:t>E ex post weather conditions, although for an given ex post event day, the impacts can diffe</w:t>
      </w:r>
      <w:r>
        <w:rPr>
          <w:color w:val="auto"/>
        </w:rPr>
        <w:t>r significantly</w:t>
      </w:r>
      <w:proofErr w:type="gramStart"/>
      <w:r>
        <w:rPr>
          <w:color w:val="auto"/>
        </w:rPr>
        <w:t xml:space="preserve">.  </w:t>
      </w:r>
      <w:proofErr w:type="gramEnd"/>
      <w:r>
        <w:rPr>
          <w:color w:val="auto"/>
        </w:rPr>
        <w:t>Using the SCE</w:t>
      </w:r>
      <w:r w:rsidR="009A283D" w:rsidRPr="00474A2F">
        <w:rPr>
          <w:color w:val="auto"/>
        </w:rPr>
        <w:t xml:space="preserve"> 1-in-2 year conditions increase</w:t>
      </w:r>
      <w:r>
        <w:rPr>
          <w:color w:val="auto"/>
        </w:rPr>
        <w:t>s the average impacts by about 1</w:t>
      </w:r>
      <w:r w:rsidR="009A283D" w:rsidRPr="00474A2F">
        <w:rPr>
          <w:color w:val="auto"/>
        </w:rPr>
        <w:t>% compared with the impacts from the ex post weathe</w:t>
      </w:r>
      <w:r w:rsidR="00CC545C">
        <w:rPr>
          <w:color w:val="auto"/>
        </w:rPr>
        <w:t>r conditions</w:t>
      </w:r>
      <w:proofErr w:type="gramStart"/>
      <w:r w:rsidR="00CC545C">
        <w:rPr>
          <w:color w:val="auto"/>
        </w:rPr>
        <w:t xml:space="preserve">.  </w:t>
      </w:r>
      <w:proofErr w:type="gramEnd"/>
      <w:r w:rsidR="00CC545C">
        <w:rPr>
          <w:color w:val="auto"/>
        </w:rPr>
        <w:t>The CAISO and SC</w:t>
      </w:r>
      <w:r w:rsidR="009A283D" w:rsidRPr="00474A2F">
        <w:rPr>
          <w:color w:val="auto"/>
        </w:rPr>
        <w:t xml:space="preserve">E 1-in-10 year weather conditions yield impacts </w:t>
      </w:r>
      <w:r>
        <w:rPr>
          <w:color w:val="auto"/>
        </w:rPr>
        <w:t>5% smaller than</w:t>
      </w:r>
      <w:r w:rsidR="009A283D" w:rsidRPr="00474A2F">
        <w:rPr>
          <w:color w:val="auto"/>
        </w:rPr>
        <w:t xml:space="preserve"> the impacts derived from their respective 1-in-2 year weather conditions.</w:t>
      </w:r>
    </w:p>
    <w:p w:rsidR="009A283D" w:rsidRPr="00474A2F" w:rsidRDefault="009829C3" w:rsidP="009A283D">
      <w:pPr>
        <w:pStyle w:val="TableFigureCaption"/>
        <w:rPr>
          <w:noProof/>
        </w:rPr>
      </w:pPr>
      <w:r>
        <w:t>Table 7</w:t>
      </w:r>
      <w:r w:rsidR="009A283D" w:rsidRPr="00474A2F">
        <w:t xml:space="preserve">-8: Differences in Large </w:t>
      </w:r>
      <w:proofErr w:type="gramStart"/>
      <w:r w:rsidR="009A283D" w:rsidRPr="00474A2F">
        <w:t>C&amp;I</w:t>
      </w:r>
      <w:proofErr w:type="gramEnd"/>
      <w:r w:rsidR="009A283D" w:rsidRPr="00474A2F">
        <w:t xml:space="preserve"> Ex Post and Ex Ante Impacts Due to Key Factors</w:t>
      </w:r>
    </w:p>
    <w:tbl>
      <w:tblPr>
        <w:tblW w:w="11593" w:type="dxa"/>
        <w:jc w:val="center"/>
        <w:tblInd w:w="93" w:type="dxa"/>
        <w:tblLook w:val="04A0" w:firstRow="1" w:lastRow="0" w:firstColumn="1" w:lastColumn="0" w:noHBand="0" w:noVBand="1"/>
      </w:tblPr>
      <w:tblGrid>
        <w:gridCol w:w="1106"/>
        <w:gridCol w:w="980"/>
        <w:gridCol w:w="797"/>
        <w:gridCol w:w="1532"/>
        <w:gridCol w:w="1936"/>
        <w:gridCol w:w="1958"/>
        <w:gridCol w:w="787"/>
        <w:gridCol w:w="783"/>
        <w:gridCol w:w="874"/>
        <w:gridCol w:w="840"/>
      </w:tblGrid>
      <w:tr w:rsidR="001E0B2B" w:rsidRPr="001E0B2B" w:rsidTr="00F75CE5">
        <w:trPr>
          <w:trHeight w:val="1016"/>
          <w:jc w:val="center"/>
        </w:trPr>
        <w:tc>
          <w:tcPr>
            <w:tcW w:w="1106"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Date</w:t>
            </w:r>
          </w:p>
        </w:tc>
        <w:tc>
          <w:tcPr>
            <w:tcW w:w="980"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Mean 17</w:t>
            </w:r>
          </w:p>
        </w:tc>
        <w:tc>
          <w:tcPr>
            <w:tcW w:w="797"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Ex Post Impact</w:t>
            </w:r>
          </w:p>
        </w:tc>
        <w:tc>
          <w:tcPr>
            <w:tcW w:w="1532"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Ex Post Impact with Ex Ante Enrollment</w:t>
            </w:r>
          </w:p>
        </w:tc>
        <w:tc>
          <w:tcPr>
            <w:tcW w:w="1936"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Ex Ante Model Ex Post Weather and Event Window</w:t>
            </w:r>
          </w:p>
        </w:tc>
        <w:tc>
          <w:tcPr>
            <w:tcW w:w="1958"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Ex Ante Model Ex Post Weather RA Event Window</w:t>
            </w:r>
          </w:p>
        </w:tc>
        <w:tc>
          <w:tcPr>
            <w:tcW w:w="787"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CAISO 1-in-2</w:t>
            </w:r>
          </w:p>
        </w:tc>
        <w:tc>
          <w:tcPr>
            <w:tcW w:w="783"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CC545C" w:rsidP="00F75CE5">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SC</w:t>
            </w:r>
            <w:r w:rsidR="001E0B2B" w:rsidRPr="00F0706F">
              <w:rPr>
                <w:rFonts w:ascii="Arial" w:eastAsia="Times New Roman" w:hAnsi="Arial" w:cs="Arial"/>
                <w:b/>
                <w:bCs/>
                <w:color w:val="FFFFFF"/>
                <w:sz w:val="18"/>
                <w:szCs w:val="18"/>
              </w:rPr>
              <w:t>E 1-in-2</w:t>
            </w:r>
          </w:p>
        </w:tc>
        <w:tc>
          <w:tcPr>
            <w:tcW w:w="874" w:type="dxa"/>
            <w:tcBorders>
              <w:top w:val="single" w:sz="4" w:space="0" w:color="auto"/>
              <w:left w:val="nil"/>
              <w:bottom w:val="single" w:sz="4" w:space="0" w:color="FFFFFF"/>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CAISO 1-in-10</w:t>
            </w:r>
          </w:p>
        </w:tc>
        <w:tc>
          <w:tcPr>
            <w:tcW w:w="840" w:type="dxa"/>
            <w:tcBorders>
              <w:top w:val="single" w:sz="4" w:space="0" w:color="auto"/>
              <w:left w:val="nil"/>
              <w:bottom w:val="single" w:sz="4" w:space="0" w:color="FFFFFF"/>
              <w:right w:val="single" w:sz="4" w:space="0" w:color="auto"/>
            </w:tcBorders>
            <w:shd w:val="clear" w:color="000000" w:fill="0070CD"/>
            <w:vAlign w:val="center"/>
            <w:hideMark/>
          </w:tcPr>
          <w:p w:rsidR="001E0B2B" w:rsidRPr="00F0706F" w:rsidRDefault="00CC545C" w:rsidP="00F75CE5">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SC</w:t>
            </w:r>
            <w:r w:rsidR="001E0B2B" w:rsidRPr="00F0706F">
              <w:rPr>
                <w:rFonts w:ascii="Arial" w:eastAsia="Times New Roman" w:hAnsi="Arial" w:cs="Arial"/>
                <w:b/>
                <w:bCs/>
                <w:color w:val="FFFFFF"/>
                <w:sz w:val="18"/>
                <w:szCs w:val="18"/>
              </w:rPr>
              <w:t>E</w:t>
            </w:r>
            <w:r>
              <w:rPr>
                <w:rFonts w:ascii="Arial" w:eastAsia="Times New Roman" w:hAnsi="Arial" w:cs="Arial"/>
                <w:b/>
                <w:bCs/>
                <w:color w:val="FFFFFF"/>
                <w:sz w:val="18"/>
                <w:szCs w:val="18"/>
              </w:rPr>
              <w:br/>
            </w:r>
            <w:r w:rsidR="001E0B2B" w:rsidRPr="00F0706F">
              <w:rPr>
                <w:rFonts w:ascii="Arial" w:eastAsia="Times New Roman" w:hAnsi="Arial" w:cs="Arial"/>
                <w:b/>
                <w:bCs/>
                <w:color w:val="FFFFFF"/>
                <w:sz w:val="18"/>
                <w:szCs w:val="18"/>
              </w:rPr>
              <w:t>1-in-10</w:t>
            </w:r>
          </w:p>
        </w:tc>
      </w:tr>
      <w:tr w:rsidR="001E0B2B" w:rsidRPr="001E0B2B" w:rsidTr="00F75CE5">
        <w:trPr>
          <w:trHeight w:val="300"/>
          <w:jc w:val="center"/>
        </w:trPr>
        <w:tc>
          <w:tcPr>
            <w:tcW w:w="1106" w:type="dxa"/>
            <w:vMerge/>
            <w:tcBorders>
              <w:top w:val="single" w:sz="4" w:space="0" w:color="auto"/>
              <w:left w:val="single" w:sz="4" w:space="0" w:color="auto"/>
              <w:bottom w:val="single" w:sz="4" w:space="0" w:color="000000"/>
              <w:right w:val="single" w:sz="4" w:space="0" w:color="FFFFFF"/>
            </w:tcBorders>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p>
        </w:tc>
        <w:tc>
          <w:tcPr>
            <w:tcW w:w="980"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(F)</w:t>
            </w:r>
          </w:p>
        </w:tc>
        <w:tc>
          <w:tcPr>
            <w:tcW w:w="797"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1532"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1936"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1958"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787"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783"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874" w:type="dxa"/>
            <w:tcBorders>
              <w:top w:val="nil"/>
              <w:left w:val="nil"/>
              <w:bottom w:val="single" w:sz="4" w:space="0" w:color="auto"/>
              <w:right w:val="single" w:sz="4" w:space="0" w:color="FFFFFF"/>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c>
          <w:tcPr>
            <w:tcW w:w="840" w:type="dxa"/>
            <w:tcBorders>
              <w:top w:val="nil"/>
              <w:left w:val="nil"/>
              <w:bottom w:val="single" w:sz="4" w:space="0" w:color="auto"/>
              <w:right w:val="single" w:sz="4" w:space="0" w:color="auto"/>
            </w:tcBorders>
            <w:shd w:val="clear" w:color="000000" w:fill="0070CD"/>
            <w:vAlign w:val="center"/>
            <w:hideMark/>
          </w:tcPr>
          <w:p w:rsidR="001E0B2B" w:rsidRPr="00F0706F" w:rsidRDefault="001E0B2B" w:rsidP="00F75CE5">
            <w:pPr>
              <w:spacing w:after="0" w:line="240" w:lineRule="auto"/>
              <w:jc w:val="center"/>
              <w:rPr>
                <w:rFonts w:ascii="Arial" w:eastAsia="Times New Roman" w:hAnsi="Arial" w:cs="Arial"/>
                <w:b/>
                <w:bCs/>
                <w:color w:val="FFFFFF"/>
                <w:sz w:val="18"/>
                <w:szCs w:val="18"/>
              </w:rPr>
            </w:pPr>
            <w:r w:rsidRPr="00F0706F">
              <w:rPr>
                <w:rFonts w:ascii="Arial" w:eastAsia="Times New Roman" w:hAnsi="Arial" w:cs="Arial"/>
                <w:b/>
                <w:bCs/>
                <w:color w:val="FFFFFF"/>
                <w:sz w:val="18"/>
                <w:szCs w:val="18"/>
              </w:rPr>
              <w:t>(MW)</w:t>
            </w:r>
          </w:p>
        </w:tc>
      </w:tr>
      <w:tr w:rsidR="002A1BB0"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2A1BB0" w:rsidRPr="001E0B2B" w:rsidRDefault="002A1BB0"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7/8/2014</w:t>
            </w:r>
          </w:p>
        </w:tc>
        <w:tc>
          <w:tcPr>
            <w:tcW w:w="980" w:type="dxa"/>
            <w:tcBorders>
              <w:top w:val="nil"/>
              <w:left w:val="nil"/>
              <w:bottom w:val="single" w:sz="4" w:space="0" w:color="auto"/>
              <w:right w:val="single" w:sz="4" w:space="0" w:color="auto"/>
            </w:tcBorders>
            <w:shd w:val="clear" w:color="auto" w:fill="auto"/>
            <w:noWrap/>
            <w:vAlign w:val="center"/>
            <w:hideMark/>
          </w:tcPr>
          <w:p w:rsidR="002A1BB0" w:rsidRPr="00F75CE5" w:rsidRDefault="002A1BB0" w:rsidP="00F75CE5">
            <w:pPr>
              <w:spacing w:before="60" w:after="60"/>
              <w:jc w:val="center"/>
              <w:rPr>
                <w:rFonts w:ascii="Arial" w:hAnsi="Arial" w:cs="Arial"/>
                <w:color w:val="000000"/>
                <w:sz w:val="20"/>
                <w:szCs w:val="20"/>
              </w:rPr>
            </w:pPr>
            <w:r w:rsidRPr="00F75CE5">
              <w:rPr>
                <w:rFonts w:ascii="Arial" w:hAnsi="Arial" w:cs="Arial"/>
                <w:color w:val="000000"/>
                <w:sz w:val="20"/>
                <w:szCs w:val="20"/>
              </w:rPr>
              <w:t>74.7</w:t>
            </w:r>
          </w:p>
        </w:tc>
        <w:tc>
          <w:tcPr>
            <w:tcW w:w="797" w:type="dxa"/>
            <w:tcBorders>
              <w:top w:val="nil"/>
              <w:left w:val="nil"/>
              <w:bottom w:val="single" w:sz="4" w:space="0" w:color="auto"/>
              <w:right w:val="single" w:sz="4" w:space="0" w:color="auto"/>
            </w:tcBorders>
            <w:shd w:val="clear" w:color="auto" w:fill="auto"/>
            <w:noWrap/>
            <w:vAlign w:val="center"/>
            <w:hideMark/>
          </w:tcPr>
          <w:p w:rsidR="002A1BB0" w:rsidRPr="00F75CE5" w:rsidRDefault="002A1BB0" w:rsidP="00F75CE5">
            <w:pPr>
              <w:spacing w:before="60" w:after="60"/>
              <w:jc w:val="center"/>
              <w:rPr>
                <w:rFonts w:ascii="Arial" w:hAnsi="Arial" w:cs="Arial"/>
                <w:color w:val="000000"/>
                <w:sz w:val="20"/>
                <w:szCs w:val="20"/>
              </w:rPr>
            </w:pPr>
            <w:r w:rsidRPr="00F75CE5">
              <w:rPr>
                <w:rFonts w:ascii="Arial" w:hAnsi="Arial" w:cs="Arial"/>
                <w:color w:val="000000"/>
                <w:sz w:val="20"/>
                <w:szCs w:val="20"/>
              </w:rPr>
              <w:t>34.7</w:t>
            </w:r>
          </w:p>
        </w:tc>
        <w:tc>
          <w:tcPr>
            <w:tcW w:w="1532" w:type="dxa"/>
            <w:tcBorders>
              <w:top w:val="nil"/>
              <w:left w:val="nil"/>
              <w:bottom w:val="single" w:sz="4" w:space="0" w:color="auto"/>
              <w:right w:val="single" w:sz="4" w:space="0" w:color="auto"/>
            </w:tcBorders>
            <w:shd w:val="clear" w:color="auto" w:fill="auto"/>
            <w:noWrap/>
            <w:vAlign w:val="center"/>
            <w:hideMark/>
          </w:tcPr>
          <w:p w:rsidR="002A1BB0" w:rsidRPr="00F75CE5" w:rsidRDefault="002A1BB0" w:rsidP="00F75CE5">
            <w:pPr>
              <w:spacing w:before="60" w:after="60"/>
              <w:jc w:val="center"/>
              <w:rPr>
                <w:rFonts w:ascii="Arial" w:hAnsi="Arial" w:cs="Arial"/>
                <w:color w:val="000000"/>
                <w:sz w:val="20"/>
                <w:szCs w:val="20"/>
              </w:rPr>
            </w:pPr>
            <w:r w:rsidRPr="00F75CE5">
              <w:rPr>
                <w:rFonts w:ascii="Arial" w:hAnsi="Arial" w:cs="Arial"/>
                <w:color w:val="000000"/>
                <w:sz w:val="20"/>
                <w:szCs w:val="20"/>
              </w:rPr>
              <w:t>33.3</w:t>
            </w:r>
          </w:p>
        </w:tc>
        <w:tc>
          <w:tcPr>
            <w:tcW w:w="1936" w:type="dxa"/>
            <w:tcBorders>
              <w:top w:val="nil"/>
              <w:left w:val="nil"/>
              <w:bottom w:val="single" w:sz="4" w:space="0" w:color="auto"/>
              <w:right w:val="single" w:sz="4" w:space="0" w:color="auto"/>
            </w:tcBorders>
            <w:shd w:val="clear" w:color="auto" w:fill="auto"/>
            <w:noWrap/>
            <w:vAlign w:val="center"/>
            <w:hideMark/>
          </w:tcPr>
          <w:p w:rsidR="002A1BB0" w:rsidRPr="00F75CE5" w:rsidRDefault="002A1BB0" w:rsidP="00F75CE5">
            <w:pPr>
              <w:spacing w:before="60" w:after="60"/>
              <w:jc w:val="center"/>
              <w:rPr>
                <w:rFonts w:ascii="Arial" w:hAnsi="Arial" w:cs="Arial"/>
                <w:color w:val="000000"/>
                <w:sz w:val="20"/>
                <w:szCs w:val="20"/>
              </w:rPr>
            </w:pPr>
            <w:r w:rsidRPr="00F75CE5">
              <w:rPr>
                <w:rFonts w:ascii="Arial" w:hAnsi="Arial" w:cs="Arial"/>
                <w:color w:val="000000"/>
                <w:sz w:val="20"/>
                <w:szCs w:val="20"/>
              </w:rPr>
              <w:t>28.7</w:t>
            </w:r>
          </w:p>
        </w:tc>
        <w:tc>
          <w:tcPr>
            <w:tcW w:w="1958" w:type="dxa"/>
            <w:tcBorders>
              <w:top w:val="nil"/>
              <w:left w:val="nil"/>
              <w:bottom w:val="single" w:sz="4" w:space="0" w:color="auto"/>
              <w:right w:val="single" w:sz="4" w:space="0" w:color="auto"/>
            </w:tcBorders>
            <w:shd w:val="clear" w:color="auto" w:fill="auto"/>
            <w:noWrap/>
            <w:vAlign w:val="center"/>
            <w:hideMark/>
          </w:tcPr>
          <w:p w:rsidR="002A1BB0" w:rsidRPr="00F75CE5" w:rsidRDefault="002A1BB0" w:rsidP="00F75CE5">
            <w:pPr>
              <w:spacing w:before="60" w:after="60"/>
              <w:jc w:val="center"/>
              <w:rPr>
                <w:rFonts w:ascii="Arial" w:hAnsi="Arial" w:cs="Arial"/>
                <w:color w:val="000000"/>
                <w:sz w:val="20"/>
                <w:szCs w:val="20"/>
              </w:rPr>
            </w:pPr>
            <w:r w:rsidRPr="00F75CE5">
              <w:rPr>
                <w:rFonts w:ascii="Arial" w:hAnsi="Arial" w:cs="Arial"/>
                <w:color w:val="000000"/>
                <w:sz w:val="20"/>
                <w:szCs w:val="20"/>
              </w:rPr>
              <w:t>24.3</w:t>
            </w:r>
          </w:p>
        </w:tc>
        <w:tc>
          <w:tcPr>
            <w:tcW w:w="7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1BB0" w:rsidRDefault="002A1BB0" w:rsidP="002A1BB0">
            <w:pPr>
              <w:spacing w:before="60" w:after="60"/>
              <w:jc w:val="center"/>
              <w:rPr>
                <w:rFonts w:ascii="Arial" w:hAnsi="Arial" w:cs="Arial"/>
                <w:color w:val="000000"/>
                <w:sz w:val="20"/>
                <w:szCs w:val="20"/>
              </w:rPr>
            </w:pPr>
            <w:r>
              <w:rPr>
                <w:rFonts w:ascii="Arial" w:hAnsi="Arial" w:cs="Arial"/>
                <w:color w:val="000000"/>
                <w:sz w:val="20"/>
                <w:szCs w:val="20"/>
              </w:rPr>
              <w:t>22.4</w:t>
            </w:r>
          </w:p>
        </w:tc>
        <w:tc>
          <w:tcPr>
            <w:tcW w:w="78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1BB0" w:rsidRDefault="002A1BB0" w:rsidP="002A1BB0">
            <w:pPr>
              <w:spacing w:before="60" w:after="60"/>
              <w:jc w:val="center"/>
              <w:rPr>
                <w:rFonts w:ascii="Arial" w:hAnsi="Arial" w:cs="Arial"/>
                <w:color w:val="000000"/>
                <w:sz w:val="20"/>
                <w:szCs w:val="20"/>
              </w:rPr>
            </w:pPr>
            <w:r>
              <w:rPr>
                <w:rFonts w:ascii="Arial" w:hAnsi="Arial" w:cs="Arial"/>
                <w:color w:val="000000"/>
                <w:sz w:val="20"/>
                <w:szCs w:val="20"/>
              </w:rPr>
              <w:t>23.0</w:t>
            </w:r>
          </w:p>
        </w:tc>
        <w:tc>
          <w:tcPr>
            <w:tcW w:w="87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1BB0" w:rsidRDefault="002A1BB0" w:rsidP="002A1BB0">
            <w:pPr>
              <w:spacing w:before="60" w:after="60"/>
              <w:jc w:val="center"/>
              <w:rPr>
                <w:rFonts w:ascii="Arial" w:hAnsi="Arial" w:cs="Arial"/>
                <w:color w:val="000000"/>
                <w:sz w:val="20"/>
                <w:szCs w:val="20"/>
              </w:rPr>
            </w:pPr>
            <w:r>
              <w:rPr>
                <w:rFonts w:ascii="Arial" w:hAnsi="Arial" w:cs="Arial"/>
                <w:color w:val="000000"/>
                <w:sz w:val="20"/>
                <w:szCs w:val="20"/>
              </w:rPr>
              <w:t>21.0</w:t>
            </w:r>
          </w:p>
        </w:tc>
        <w:tc>
          <w:tcPr>
            <w:tcW w:w="8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A1BB0" w:rsidRDefault="002A1BB0" w:rsidP="002A1BB0">
            <w:pPr>
              <w:spacing w:before="60" w:after="60"/>
              <w:jc w:val="center"/>
              <w:rPr>
                <w:rFonts w:ascii="Arial" w:hAnsi="Arial" w:cs="Arial"/>
                <w:color w:val="000000"/>
                <w:sz w:val="20"/>
                <w:szCs w:val="20"/>
              </w:rPr>
            </w:pPr>
            <w:r>
              <w:rPr>
                <w:rFonts w:ascii="Arial" w:hAnsi="Arial" w:cs="Arial"/>
                <w:color w:val="000000"/>
                <w:sz w:val="20"/>
                <w:szCs w:val="20"/>
              </w:rPr>
              <w:t>21.0</w:t>
            </w: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7/14/2014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73.0</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31.3</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30.1</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29.2</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24.9</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7/30/2014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77.3</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38.4</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37.0</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28.1</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23.5</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8/4/2014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73.4</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35.9</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34.6</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27.3</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22.7</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8/22/2014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72.7</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19.6</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18.8</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28.7</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24.4</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8/28/2014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79.0</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26.5</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25.6</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26.2</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21.2</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9/8/2014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76.0</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30.8</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29.4</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26.7</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21.9</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9/11/2014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77.5</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20.6</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19.7</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26.9</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22.1</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9/15/2014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83.4</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35.8</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34.2</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25.2</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19.6</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9/16/2014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84.4</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31.3</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30.0</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24.8</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19.1</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9/22/2014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70.0</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28.6</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27.3</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29.3</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25.3</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9/23/2014</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71.8</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21.6</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20.6</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29.0</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24.8</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r w:rsidR="00F75CE5" w:rsidRPr="001E0B2B" w:rsidTr="00F75CE5">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r w:rsidRPr="001E0B2B">
              <w:rPr>
                <w:rFonts w:ascii="Arial" w:eastAsia="Times New Roman" w:hAnsi="Arial" w:cs="Arial"/>
                <w:color w:val="000000"/>
                <w:sz w:val="20"/>
                <w:szCs w:val="20"/>
              </w:rPr>
              <w:t>Avg.</w:t>
            </w:r>
          </w:p>
        </w:tc>
        <w:tc>
          <w:tcPr>
            <w:tcW w:w="980"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76.1</w:t>
            </w:r>
          </w:p>
        </w:tc>
        <w:tc>
          <w:tcPr>
            <w:tcW w:w="797"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29.6</w:t>
            </w:r>
          </w:p>
        </w:tc>
        <w:tc>
          <w:tcPr>
            <w:tcW w:w="1532"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28.4</w:t>
            </w:r>
          </w:p>
        </w:tc>
        <w:tc>
          <w:tcPr>
            <w:tcW w:w="1936"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27.5</w:t>
            </w:r>
          </w:p>
        </w:tc>
        <w:tc>
          <w:tcPr>
            <w:tcW w:w="1958" w:type="dxa"/>
            <w:tcBorders>
              <w:top w:val="nil"/>
              <w:left w:val="nil"/>
              <w:bottom w:val="single" w:sz="4" w:space="0" w:color="auto"/>
              <w:right w:val="single" w:sz="4" w:space="0" w:color="auto"/>
            </w:tcBorders>
            <w:shd w:val="clear" w:color="auto" w:fill="auto"/>
            <w:noWrap/>
            <w:vAlign w:val="center"/>
            <w:hideMark/>
          </w:tcPr>
          <w:p w:rsidR="00F75CE5" w:rsidRPr="00F75CE5" w:rsidRDefault="00F75CE5" w:rsidP="00F75CE5">
            <w:pPr>
              <w:spacing w:before="60" w:after="60"/>
              <w:jc w:val="center"/>
              <w:rPr>
                <w:rFonts w:ascii="Arial" w:hAnsi="Arial" w:cs="Arial"/>
                <w:color w:val="000000"/>
                <w:sz w:val="20"/>
                <w:szCs w:val="20"/>
              </w:rPr>
            </w:pPr>
            <w:r w:rsidRPr="00F75CE5">
              <w:rPr>
                <w:rFonts w:ascii="Arial" w:hAnsi="Arial" w:cs="Arial"/>
                <w:color w:val="000000"/>
                <w:sz w:val="20"/>
                <w:szCs w:val="20"/>
              </w:rPr>
              <w:t>22.8</w:t>
            </w:r>
          </w:p>
        </w:tc>
        <w:tc>
          <w:tcPr>
            <w:tcW w:w="787"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74" w:type="dxa"/>
            <w:vMerge/>
            <w:tcBorders>
              <w:top w:val="nil"/>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F75CE5" w:rsidRPr="001E0B2B" w:rsidRDefault="00F75CE5" w:rsidP="00F75CE5">
            <w:pPr>
              <w:spacing w:after="0" w:line="240" w:lineRule="auto"/>
              <w:jc w:val="center"/>
              <w:rPr>
                <w:rFonts w:ascii="Arial" w:eastAsia="Times New Roman" w:hAnsi="Arial" w:cs="Arial"/>
                <w:color w:val="000000"/>
                <w:sz w:val="20"/>
                <w:szCs w:val="20"/>
              </w:rPr>
            </w:pPr>
          </w:p>
        </w:tc>
      </w:tr>
    </w:tbl>
    <w:p w:rsidR="009A283D" w:rsidRPr="00474A2F" w:rsidRDefault="009A283D" w:rsidP="009A283D">
      <w:pPr>
        <w:pStyle w:val="BodyParagraph"/>
        <w:rPr>
          <w:color w:val="auto"/>
        </w:rPr>
      </w:pPr>
    </w:p>
    <w:p w:rsidR="009A283D" w:rsidRDefault="009A283D" w:rsidP="009A283D">
      <w:pPr>
        <w:pStyle w:val="Heading2"/>
        <w:ind w:left="576" w:hanging="576"/>
      </w:pPr>
      <w:bookmarkStart w:id="221" w:name="_Toc415494796"/>
      <w:r w:rsidRPr="007E27F3">
        <w:lastRenderedPageBreak/>
        <w:t>Medium</w:t>
      </w:r>
      <w:r>
        <w:t xml:space="preserve"> C&amp;I Ex Ante Impacts</w:t>
      </w:r>
      <w:bookmarkEnd w:id="221"/>
    </w:p>
    <w:p w:rsidR="009A283D" w:rsidRDefault="009A283D" w:rsidP="009A283D">
      <w:pPr>
        <w:pStyle w:val="BodyParagraph"/>
        <w:tabs>
          <w:tab w:val="left" w:pos="4590"/>
        </w:tabs>
      </w:pPr>
      <w:r w:rsidRPr="00854013">
        <w:t>Overall, there is greater uncertainty regarding medium C&amp;I customer impacts under default CPP</w:t>
      </w:r>
      <w:proofErr w:type="gramStart"/>
      <w:r w:rsidRPr="00854013">
        <w:t xml:space="preserve">.  </w:t>
      </w:r>
      <w:proofErr w:type="gramEnd"/>
      <w:r w:rsidRPr="00854013">
        <w:t>To</w:t>
      </w:r>
      <w:r>
        <w:t> </w:t>
      </w:r>
      <w:r w:rsidRPr="00854013">
        <w:t>date, default CPP has been implemented on a very limited basis for medium customers and those medium C&amp;I customers who are on the rate are generally not representative of the medium C&amp;I sector as a whole</w:t>
      </w:r>
      <w:proofErr w:type="gramStart"/>
      <w:r w:rsidRPr="00854013">
        <w:t xml:space="preserve">.  </w:t>
      </w:r>
      <w:proofErr w:type="gramEnd"/>
      <w:r w:rsidRPr="00854013">
        <w:t>While some medium</w:t>
      </w:r>
      <w:r>
        <w:t xml:space="preserve"> customers volunteered onto CPP rates, their mix and demand reductions are not representative of the current and future medium default customer population</w:t>
      </w:r>
      <w:proofErr w:type="gramStart"/>
      <w:r>
        <w:t xml:space="preserve">.  </w:t>
      </w:r>
      <w:proofErr w:type="gramEnd"/>
      <w:r>
        <w:t>The few pilots that tested time varying pricing for small and medium businesses did not do so for default rates, but rather included only customers who volunteered into the pilots</w:t>
      </w:r>
      <w:proofErr w:type="gramStart"/>
      <w:r>
        <w:t xml:space="preserve">.  </w:t>
      </w:r>
      <w:proofErr w:type="gramEnd"/>
      <w:r>
        <w:t>Among such pilots is PG&amp;E’s EEP for small and medium CPP customers</w:t>
      </w:r>
      <w:proofErr w:type="gramStart"/>
      <w:r>
        <w:t xml:space="preserve">.  </w:t>
      </w:r>
      <w:proofErr w:type="gramEnd"/>
      <w:r>
        <w:t xml:space="preserve">In brief, the empirical data on medium customer response is limited.  </w:t>
      </w:r>
    </w:p>
    <w:p w:rsidR="009A283D" w:rsidRDefault="009A283D" w:rsidP="009A283D">
      <w:pPr>
        <w:pStyle w:val="BodyParagraph"/>
        <w:tabs>
          <w:tab w:val="left" w:pos="4590"/>
        </w:tabs>
      </w:pPr>
      <w:r>
        <w:t>Previous studies have shown that customers who enroll on an opt-in basis tend to be more engaged and deliver significantly larger percent reductions than those who enroll on a default basis.</w:t>
      </w:r>
      <w:r>
        <w:rPr>
          <w:rStyle w:val="FootnoteReference"/>
        </w:rPr>
        <w:footnoteReference w:id="27"/>
      </w:r>
      <w:proofErr w:type="gramStart"/>
      <w:r>
        <w:t xml:space="preserve">  </w:t>
      </w:r>
      <w:proofErr w:type="gramEnd"/>
      <w:r>
        <w:t>Nexant therefore used the EPP CPP percent reductions as an upper bound for the expected response of defaulted small and medium customers, and adjusted the overall percent reduction downward by about two</w:t>
      </w:r>
      <w:r w:rsidR="0000306E">
        <w:t>-</w:t>
      </w:r>
      <w:r>
        <w:t>thirds</w:t>
      </w:r>
      <w:proofErr w:type="gramStart"/>
      <w:r>
        <w:t xml:space="preserve">.  </w:t>
      </w:r>
      <w:proofErr w:type="gramEnd"/>
      <w:r>
        <w:t>This yielded percent reductions of 2% and 1.5% for small and medium customers respectively</w:t>
      </w:r>
      <w:proofErr w:type="gramStart"/>
      <w:r>
        <w:t xml:space="preserve">. </w:t>
      </w:r>
      <w:r w:rsidR="0000306E">
        <w:t xml:space="preserve"> </w:t>
      </w:r>
      <w:proofErr w:type="gramEnd"/>
      <w:r>
        <w:t>The reference loads were developed by using a sample of interval data for customers that were defaulted in November 2014 and estimating reference loads for them within each transmission planning area</w:t>
      </w:r>
      <w:proofErr w:type="gramStart"/>
      <w:r>
        <w:t xml:space="preserve">.  </w:t>
      </w:r>
      <w:proofErr w:type="gramEnd"/>
      <w:r>
        <w:t>We simply applied the percent reductions to the reference loads.</w:t>
      </w:r>
    </w:p>
    <w:p w:rsidR="009A283D" w:rsidRDefault="009A283D" w:rsidP="009A283D">
      <w:pPr>
        <w:pStyle w:val="BodyParagraph"/>
        <w:tabs>
          <w:tab w:val="left" w:pos="4590"/>
        </w:tabs>
      </w:pPr>
      <w:r>
        <w:t>Table 7-9 presents SCE's enrollment projections for medium C&amp;I customers through 2025</w:t>
      </w:r>
      <w:proofErr w:type="gramStart"/>
      <w:r>
        <w:t xml:space="preserve">.  </w:t>
      </w:r>
      <w:proofErr w:type="gramEnd"/>
      <w:r>
        <w:t>In April 2017, medium C&amp;I customers on a TOU rate will be defaulted onto CPP, leading to the increase in enrollment</w:t>
      </w:r>
      <w:proofErr w:type="gramStart"/>
      <w:r>
        <w:t>.</w:t>
      </w:r>
      <w:r w:rsidR="007F5235">
        <w:t xml:space="preserve"> </w:t>
      </w:r>
      <w:r>
        <w:t xml:space="preserve"> </w:t>
      </w:r>
      <w:proofErr w:type="gramEnd"/>
      <w:r>
        <w:t xml:space="preserve">Of the customers who </w:t>
      </w:r>
      <w:r w:rsidR="00AE4E7D">
        <w:t>will default</w:t>
      </w:r>
      <w:r>
        <w:t xml:space="preserve"> in April 2017, 13,918 medium C&amp;I customers are projected to remain on CPP</w:t>
      </w:r>
      <w:proofErr w:type="gramStart"/>
      <w:r>
        <w:t xml:space="preserve">.  </w:t>
      </w:r>
      <w:proofErr w:type="gramEnd"/>
      <w:r>
        <w:t>The enrollment is expected to increase slowly thereafter as a result of growth in accounts.</w:t>
      </w:r>
    </w:p>
    <w:p w:rsidR="009A283D" w:rsidRPr="002617A0" w:rsidRDefault="009A283D" w:rsidP="009A283D">
      <w:pPr>
        <w:pStyle w:val="TableFigureCaption"/>
        <w:spacing w:after="0"/>
      </w:pPr>
      <w:r>
        <w:t>Table 7-9: SCE</w:t>
      </w:r>
      <w:r w:rsidRPr="002617A0">
        <w:t xml:space="preserve"> Enrollment Projections for Medium </w:t>
      </w:r>
      <w:proofErr w:type="gramStart"/>
      <w:r w:rsidRPr="002617A0">
        <w:t>C&amp;I</w:t>
      </w:r>
      <w:proofErr w:type="gramEnd"/>
      <w:r w:rsidRPr="002617A0">
        <w:t xml:space="preserve"> CPP Customers</w:t>
      </w:r>
    </w:p>
    <w:p w:rsidR="009A283D" w:rsidRDefault="009A283D" w:rsidP="009A283D">
      <w:pPr>
        <w:pStyle w:val="TableFigureCaption"/>
      </w:pPr>
      <w:proofErr w:type="gramStart"/>
      <w:r w:rsidRPr="002617A0">
        <w:t>by</w:t>
      </w:r>
      <w:proofErr w:type="gramEnd"/>
      <w:r w:rsidRPr="002617A0">
        <w:t xml:space="preserve"> Forecast Year and Month</w:t>
      </w:r>
    </w:p>
    <w:tbl>
      <w:tblPr>
        <w:tblW w:w="9760" w:type="dxa"/>
        <w:jc w:val="center"/>
        <w:tblInd w:w="93" w:type="dxa"/>
        <w:tblLook w:val="04A0" w:firstRow="1" w:lastRow="0" w:firstColumn="1" w:lastColumn="0" w:noHBand="0" w:noVBand="1"/>
      </w:tblPr>
      <w:tblGrid>
        <w:gridCol w:w="661"/>
        <w:gridCol w:w="828"/>
        <w:gridCol w:w="828"/>
        <w:gridCol w:w="828"/>
        <w:gridCol w:w="828"/>
        <w:gridCol w:w="828"/>
        <w:gridCol w:w="828"/>
        <w:gridCol w:w="828"/>
        <w:gridCol w:w="828"/>
        <w:gridCol w:w="828"/>
        <w:gridCol w:w="828"/>
        <w:gridCol w:w="828"/>
        <w:gridCol w:w="828"/>
      </w:tblGrid>
      <w:tr w:rsidR="008028DC" w:rsidRPr="006B790F" w:rsidTr="008028DC">
        <w:trPr>
          <w:trHeight w:val="368"/>
          <w:jc w:val="center"/>
        </w:trPr>
        <w:tc>
          <w:tcPr>
            <w:tcW w:w="640" w:type="dxa"/>
            <w:tcBorders>
              <w:top w:val="single" w:sz="4" w:space="0" w:color="000000"/>
              <w:left w:val="single" w:sz="4" w:space="0" w:color="000000"/>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Year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Jan.</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Feb.</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Mar.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Apr.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May</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Jun.</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Jul.</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Aug.</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Sep.</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Oct.</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Nov.</w:t>
            </w:r>
          </w:p>
        </w:tc>
        <w:tc>
          <w:tcPr>
            <w:tcW w:w="760" w:type="dxa"/>
            <w:tcBorders>
              <w:top w:val="single" w:sz="4" w:space="0" w:color="000000"/>
              <w:left w:val="nil"/>
              <w:bottom w:val="single" w:sz="4" w:space="0" w:color="000000"/>
              <w:right w:val="single" w:sz="4" w:space="0" w:color="000000"/>
            </w:tcBorders>
            <w:shd w:val="clear" w:color="000000" w:fill="0070D0"/>
            <w:noWrap/>
            <w:vAlign w:val="center"/>
            <w:hideMark/>
          </w:tcPr>
          <w:p w:rsidR="009A283D" w:rsidRPr="006B790F" w:rsidRDefault="009A283D" w:rsidP="006D677D">
            <w:pPr>
              <w:spacing w:after="0" w:line="240" w:lineRule="auto"/>
              <w:jc w:val="center"/>
              <w:rPr>
                <w:rFonts w:ascii="Arial" w:eastAsia="Times New Roman" w:hAnsi="Arial" w:cs="Arial"/>
                <w:b/>
                <w:bCs/>
                <w:color w:val="FFFFFF"/>
                <w:sz w:val="20"/>
                <w:szCs w:val="20"/>
              </w:rPr>
            </w:pPr>
            <w:r w:rsidRPr="006B790F">
              <w:rPr>
                <w:rFonts w:ascii="Arial" w:eastAsia="Times New Roman" w:hAnsi="Arial" w:cs="Arial"/>
                <w:b/>
                <w:bCs/>
                <w:color w:val="FFFFFF"/>
                <w:sz w:val="20"/>
                <w:szCs w:val="20"/>
              </w:rPr>
              <w:t>Dec.</w:t>
            </w:r>
          </w:p>
        </w:tc>
      </w:tr>
      <w:tr w:rsidR="009A283D" w:rsidRPr="006B790F" w:rsidTr="008028DC">
        <w:trPr>
          <w:trHeight w:val="350"/>
          <w:jc w:val="center"/>
        </w:trPr>
        <w:tc>
          <w:tcPr>
            <w:tcW w:w="64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2017</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r>
      <w:tr w:rsidR="009A283D" w:rsidRPr="006B790F" w:rsidTr="008028DC">
        <w:trPr>
          <w:trHeight w:val="359"/>
          <w:jc w:val="center"/>
        </w:trPr>
        <w:tc>
          <w:tcPr>
            <w:tcW w:w="64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2018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34,795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r>
      <w:tr w:rsidR="009A283D" w:rsidRPr="006B790F" w:rsidTr="008028DC">
        <w:trPr>
          <w:trHeight w:val="350"/>
          <w:jc w:val="center"/>
        </w:trPr>
        <w:tc>
          <w:tcPr>
            <w:tcW w:w="64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2019</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13,918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14,366</w:t>
            </w:r>
          </w:p>
        </w:tc>
      </w:tr>
      <w:tr w:rsidR="009A283D" w:rsidRPr="006B790F" w:rsidTr="008028DC">
        <w:trPr>
          <w:trHeight w:val="350"/>
          <w:jc w:val="center"/>
        </w:trPr>
        <w:tc>
          <w:tcPr>
            <w:tcW w:w="64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2025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16,833</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16,833</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16,833</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6B790F" w:rsidRDefault="009A283D" w:rsidP="006D677D">
            <w:pPr>
              <w:spacing w:after="0" w:line="240" w:lineRule="auto"/>
              <w:jc w:val="center"/>
              <w:rPr>
                <w:rFonts w:ascii="Arial" w:eastAsia="Times New Roman" w:hAnsi="Arial" w:cs="Arial"/>
                <w:color w:val="000000"/>
                <w:sz w:val="20"/>
                <w:szCs w:val="20"/>
              </w:rPr>
            </w:pPr>
            <w:r w:rsidRPr="006B790F">
              <w:rPr>
                <w:rFonts w:ascii="Arial" w:eastAsia="Times New Roman" w:hAnsi="Arial" w:cs="Arial"/>
                <w:color w:val="000000"/>
                <w:sz w:val="20"/>
                <w:szCs w:val="20"/>
              </w:rPr>
              <w:t>17,375</w:t>
            </w:r>
          </w:p>
        </w:tc>
      </w:tr>
    </w:tbl>
    <w:p w:rsidR="009A283D" w:rsidRPr="00BC3E44" w:rsidRDefault="009A283D" w:rsidP="009A283D">
      <w:pPr>
        <w:pStyle w:val="BodyParagraph"/>
      </w:pPr>
    </w:p>
    <w:p w:rsidR="009A283D" w:rsidRPr="004C65EF" w:rsidRDefault="009A283D" w:rsidP="009A283D">
      <w:pPr>
        <w:pStyle w:val="Heading3"/>
        <w:rPr>
          <w:rFonts w:cs="Calibri"/>
        </w:rPr>
      </w:pPr>
      <w:bookmarkStart w:id="222" w:name="_Toc415494797"/>
      <w:r w:rsidRPr="004C65EF">
        <w:t>Annual System Peak Day Impacts</w:t>
      </w:r>
      <w:bookmarkEnd w:id="222"/>
    </w:p>
    <w:p w:rsidR="009A283D" w:rsidRPr="004C65EF" w:rsidRDefault="009A283D" w:rsidP="009A283D">
      <w:pPr>
        <w:pStyle w:val="BodyParagraph"/>
      </w:pPr>
      <w:r w:rsidRPr="004C65EF">
        <w:t>Table</w:t>
      </w:r>
      <w:r>
        <w:t xml:space="preserve"> 7-10</w:t>
      </w:r>
      <w:r w:rsidRPr="004C65EF">
        <w:t xml:space="preserve"> summarizes the aggregate load impact estimates</w:t>
      </w:r>
      <w:r>
        <w:t xml:space="preserve"> for medium C&amp;I customers on SC</w:t>
      </w:r>
      <w:r w:rsidRPr="004C65EF">
        <w:t>E’s CPP rate for each forecast year under both 1-in-2 and 1-in-10</w:t>
      </w:r>
      <w:r>
        <w:t xml:space="preserve"> year</w:t>
      </w:r>
      <w:r w:rsidRPr="004C65EF">
        <w:t xml:space="preserve"> weath</w:t>
      </w:r>
      <w:r>
        <w:t>er</w:t>
      </w:r>
      <w:r w:rsidRPr="004C65EF">
        <w:t xml:space="preserve"> scenarios</w:t>
      </w:r>
      <w:r>
        <w:t xml:space="preserve"> </w:t>
      </w:r>
      <w:r>
        <w:lastRenderedPageBreak/>
        <w:t>based on both SCE and CAISO weather scenarios</w:t>
      </w:r>
      <w:proofErr w:type="gramStart"/>
      <w:r w:rsidRPr="004C65EF">
        <w:t xml:space="preserve">.  </w:t>
      </w:r>
      <w:proofErr w:type="gramEnd"/>
      <w:r w:rsidRPr="004C65EF">
        <w:t>The table shows the average load reduction across the 1</w:t>
      </w:r>
      <w:r>
        <w:t xml:space="preserve"> to </w:t>
      </w:r>
      <w:r w:rsidRPr="004C65EF">
        <w:t>6 PM event period for an August monthly system peak day.</w:t>
      </w:r>
    </w:p>
    <w:p w:rsidR="009A283D" w:rsidRDefault="009A283D" w:rsidP="009A283D">
      <w:pPr>
        <w:pStyle w:val="BodyParagraph"/>
      </w:pPr>
      <w:r>
        <w:t xml:space="preserve">Looking first at the aggregate load impacts based on SCE-specific weather, August load reductions </w:t>
      </w:r>
      <w:r w:rsidR="0000306E">
        <w:t xml:space="preserve">are predicted to </w:t>
      </w:r>
      <w:r>
        <w:t>fall</w:t>
      </w:r>
      <w:r w:rsidRPr="004C65EF">
        <w:t xml:space="preserve"> </w:t>
      </w:r>
      <w:r w:rsidR="00426922">
        <w:t>from 13.6 MW in 2017 to 5.4</w:t>
      </w:r>
      <w:r>
        <w:t xml:space="preserve"> MW in 2018 under 1-in-10</w:t>
      </w:r>
      <w:r w:rsidRPr="004C65EF">
        <w:t xml:space="preserve"> weather conditions</w:t>
      </w:r>
      <w:r>
        <w:t>, a</w:t>
      </w:r>
      <w:r w:rsidR="00426922">
        <w:t>nd then increase to 6.8</w:t>
      </w:r>
      <w:r>
        <w:t xml:space="preserve"> MW in 2025</w:t>
      </w:r>
      <w:proofErr w:type="gramStart"/>
      <w:r w:rsidRPr="004C65EF">
        <w:t xml:space="preserve">.  </w:t>
      </w:r>
      <w:proofErr w:type="gramEnd"/>
      <w:r w:rsidR="0000306E">
        <w:t>Aft</w:t>
      </w:r>
      <w:r w:rsidRPr="004C65EF">
        <w:t>e</w:t>
      </w:r>
      <w:r w:rsidR="0000306E">
        <w:t>r</w:t>
      </w:r>
      <w:r w:rsidRPr="004C65EF">
        <w:t xml:space="preserve"> default CPP is fully implemented, medium customers are foreca</w:t>
      </w:r>
      <w:r w:rsidR="00426922">
        <w:t>sted to reduce 1.2</w:t>
      </w:r>
      <w:r w:rsidRPr="004C65EF">
        <w:t>% of their demand under</w:t>
      </w:r>
      <w:r>
        <w:t xml:space="preserve"> all weather conditions</w:t>
      </w:r>
      <w:proofErr w:type="gramStart"/>
      <w:r w:rsidRPr="004C65EF">
        <w:t>.</w:t>
      </w:r>
      <w:r>
        <w:t xml:space="preserve">  </w:t>
      </w:r>
      <w:proofErr w:type="gramEnd"/>
      <w:r>
        <w:t>The estimated percent reductions are constant as enrollment increases</w:t>
      </w:r>
      <w:proofErr w:type="gramStart"/>
      <w:r>
        <w:t xml:space="preserve">. </w:t>
      </w:r>
      <w:r w:rsidR="0000306E">
        <w:t xml:space="preserve"> </w:t>
      </w:r>
      <w:proofErr w:type="gramEnd"/>
      <w:r>
        <w:t>Impact estimates based on CAISO weather 1-in</w:t>
      </w:r>
      <w:r w:rsidR="00426922">
        <w:t>-2 year conditions are roughly 1</w:t>
      </w:r>
      <w:r>
        <w:t xml:space="preserve">% less than the estimates based on SCE </w:t>
      </w:r>
      <w:r w:rsidR="006D677D">
        <w:t>weather</w:t>
      </w:r>
      <w:proofErr w:type="gramStart"/>
      <w:r w:rsidR="006D677D">
        <w:t xml:space="preserve">.  </w:t>
      </w:r>
      <w:proofErr w:type="gramEnd"/>
      <w:r w:rsidR="006D677D">
        <w:t>The C</w:t>
      </w:r>
      <w:r>
        <w:t>A</w:t>
      </w:r>
      <w:r w:rsidR="006D677D">
        <w:t>I</w:t>
      </w:r>
      <w:r>
        <w:t>SO 1-in-10 weather values produce a load reduction that is</w:t>
      </w:r>
      <w:r w:rsidR="00426922">
        <w:t xml:space="preserve"> also</w:t>
      </w:r>
      <w:r>
        <w:t xml:space="preserve"> about 1% less than the 1-in-10 year SCE estimates.</w:t>
      </w:r>
    </w:p>
    <w:p w:rsidR="009A283D" w:rsidRDefault="009A283D" w:rsidP="009A283D">
      <w:pPr>
        <w:pStyle w:val="TableFigureCaption"/>
      </w:pPr>
      <w:r>
        <w:t>Table 7-10</w:t>
      </w:r>
      <w:r w:rsidRPr="00817826">
        <w:t xml:space="preserve">: </w:t>
      </w:r>
      <w:r>
        <w:t xml:space="preserve">Aggregate </w:t>
      </w:r>
      <w:r w:rsidRPr="00817826">
        <w:t>Default CPP Ex Ante Load Impact Estimates by Weather Scenario for Medium C&amp;I</w:t>
      </w:r>
      <w:r>
        <w:t>, SCE</w:t>
      </w:r>
      <w:r w:rsidRPr="00817826">
        <w:t xml:space="preserve"> August System Peak Day (</w:t>
      </w:r>
      <w:r>
        <w:t>1</w:t>
      </w:r>
      <w:r w:rsidR="0000306E">
        <w:rPr>
          <w:rFonts w:cs="Arial"/>
        </w:rPr>
        <w:t>–</w:t>
      </w:r>
      <w:r w:rsidRPr="00817826">
        <w:t>6 PM)</w:t>
      </w:r>
    </w:p>
    <w:tbl>
      <w:tblPr>
        <w:tblW w:w="10457" w:type="dxa"/>
        <w:jc w:val="center"/>
        <w:tblInd w:w="93" w:type="dxa"/>
        <w:tblLook w:val="04A0" w:firstRow="1" w:lastRow="0" w:firstColumn="1" w:lastColumn="0" w:noHBand="0" w:noVBand="1"/>
      </w:tblPr>
      <w:tblGrid>
        <w:gridCol w:w="927"/>
        <w:gridCol w:w="927"/>
        <w:gridCol w:w="648"/>
        <w:gridCol w:w="1037"/>
        <w:gridCol w:w="1620"/>
        <w:gridCol w:w="1690"/>
        <w:gridCol w:w="1620"/>
        <w:gridCol w:w="1096"/>
        <w:gridCol w:w="1068"/>
      </w:tblGrid>
      <w:tr w:rsidR="00F0706F" w:rsidRPr="00426922" w:rsidTr="00F0706F">
        <w:trPr>
          <w:trHeight w:val="720"/>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Weather Year</w:t>
            </w:r>
          </w:p>
        </w:tc>
        <w:tc>
          <w:tcPr>
            <w:tcW w:w="648"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Enrolled Accounts</w:t>
            </w:r>
          </w:p>
        </w:tc>
        <w:tc>
          <w:tcPr>
            <w:tcW w:w="1620" w:type="dxa"/>
            <w:tcBorders>
              <w:top w:val="single" w:sz="4" w:space="0" w:color="auto"/>
              <w:left w:val="nil"/>
              <w:bottom w:val="single" w:sz="4" w:space="0" w:color="FFFFFF"/>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Aggregate Reference Load</w:t>
            </w:r>
          </w:p>
        </w:tc>
        <w:tc>
          <w:tcPr>
            <w:tcW w:w="1690" w:type="dxa"/>
            <w:tcBorders>
              <w:top w:val="single" w:sz="4" w:space="0" w:color="auto"/>
              <w:left w:val="nil"/>
              <w:bottom w:val="single" w:sz="4" w:space="0" w:color="FFFFFF"/>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Aggregate Estimated Load w/ DR</w:t>
            </w:r>
          </w:p>
        </w:tc>
        <w:tc>
          <w:tcPr>
            <w:tcW w:w="1620" w:type="dxa"/>
            <w:tcBorders>
              <w:top w:val="single" w:sz="4" w:space="0" w:color="auto"/>
              <w:left w:val="nil"/>
              <w:bottom w:val="single" w:sz="4" w:space="0" w:color="FFFFFF"/>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Aggregate Load Impact</w:t>
            </w:r>
          </w:p>
        </w:tc>
        <w:tc>
          <w:tcPr>
            <w:tcW w:w="920" w:type="dxa"/>
            <w:tcBorders>
              <w:top w:val="single" w:sz="4" w:space="0" w:color="auto"/>
              <w:left w:val="nil"/>
              <w:bottom w:val="single" w:sz="4" w:space="0" w:color="FFFFFF"/>
              <w:right w:val="single" w:sz="4" w:space="0" w:color="FFFFFF"/>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 Load Reduction</w:t>
            </w:r>
          </w:p>
        </w:tc>
        <w:tc>
          <w:tcPr>
            <w:tcW w:w="1068" w:type="dxa"/>
            <w:tcBorders>
              <w:top w:val="single" w:sz="4" w:space="0" w:color="auto"/>
              <w:left w:val="nil"/>
              <w:bottom w:val="single" w:sz="4" w:space="0" w:color="FFFFFF"/>
              <w:right w:val="single" w:sz="4" w:space="0" w:color="auto"/>
            </w:tcBorders>
            <w:shd w:val="clear" w:color="000000" w:fill="0070D0"/>
            <w:vAlign w:val="center"/>
            <w:hideMark/>
          </w:tcPr>
          <w:p w:rsidR="00426922" w:rsidRPr="00426922" w:rsidRDefault="00426922" w:rsidP="00426922">
            <w:pPr>
              <w:spacing w:after="0" w:line="240" w:lineRule="auto"/>
              <w:jc w:val="center"/>
              <w:rPr>
                <w:rFonts w:ascii="Arial" w:eastAsia="Times New Roman" w:hAnsi="Arial" w:cs="Arial"/>
                <w:b/>
                <w:bCs/>
                <w:color w:val="FFFFFF"/>
                <w:sz w:val="18"/>
                <w:szCs w:val="18"/>
              </w:rPr>
            </w:pPr>
            <w:r w:rsidRPr="00426922">
              <w:rPr>
                <w:rFonts w:ascii="Arial" w:eastAsia="Times New Roman" w:hAnsi="Arial" w:cs="Arial"/>
                <w:b/>
                <w:bCs/>
                <w:color w:val="FFFFFF"/>
                <w:sz w:val="18"/>
                <w:szCs w:val="18"/>
              </w:rPr>
              <w:t>Weighted Temp.</w:t>
            </w:r>
          </w:p>
        </w:tc>
      </w:tr>
      <w:tr w:rsidR="00F0706F" w:rsidRPr="00426922" w:rsidTr="00F0706F">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426922" w:rsidRPr="00426922" w:rsidRDefault="00426922" w:rsidP="00426922">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426922" w:rsidRPr="00426922" w:rsidRDefault="00426922" w:rsidP="00426922">
            <w:pPr>
              <w:spacing w:after="0" w:line="240" w:lineRule="auto"/>
              <w:rPr>
                <w:rFonts w:ascii="Arial" w:eastAsia="Times New Roman" w:hAnsi="Arial" w:cs="Arial"/>
                <w:b/>
                <w:bCs/>
                <w:color w:val="FFFFFF"/>
                <w:sz w:val="18"/>
                <w:szCs w:val="18"/>
              </w:rPr>
            </w:pPr>
          </w:p>
        </w:tc>
        <w:tc>
          <w:tcPr>
            <w:tcW w:w="648" w:type="dxa"/>
            <w:vMerge/>
            <w:tcBorders>
              <w:top w:val="single" w:sz="4" w:space="0" w:color="auto"/>
              <w:left w:val="single" w:sz="4" w:space="0" w:color="FFFFFF"/>
              <w:bottom w:val="single" w:sz="4" w:space="0" w:color="000000"/>
              <w:right w:val="single" w:sz="4" w:space="0" w:color="FFFFFF"/>
            </w:tcBorders>
            <w:vAlign w:val="center"/>
            <w:hideMark/>
          </w:tcPr>
          <w:p w:rsidR="00426922" w:rsidRPr="00426922" w:rsidRDefault="00426922" w:rsidP="00426922">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426922" w:rsidRPr="00426922" w:rsidRDefault="00426922" w:rsidP="00426922">
            <w:pPr>
              <w:spacing w:after="0" w:line="240" w:lineRule="auto"/>
              <w:rPr>
                <w:rFonts w:ascii="Arial" w:eastAsia="Times New Roman" w:hAnsi="Arial" w:cs="Arial"/>
                <w:b/>
                <w:bCs/>
                <w:color w:val="FFFFFF"/>
                <w:sz w:val="18"/>
                <w:szCs w:val="18"/>
              </w:rPr>
            </w:pPr>
          </w:p>
        </w:tc>
        <w:tc>
          <w:tcPr>
            <w:tcW w:w="1620" w:type="dxa"/>
            <w:tcBorders>
              <w:top w:val="nil"/>
              <w:left w:val="nil"/>
              <w:bottom w:val="single" w:sz="4" w:space="0" w:color="auto"/>
              <w:right w:val="single" w:sz="4" w:space="0" w:color="FFFFFF"/>
            </w:tcBorders>
            <w:shd w:val="clear" w:color="000000" w:fill="0070D0"/>
            <w:vAlign w:val="center"/>
            <w:hideMark/>
          </w:tcPr>
          <w:p w:rsidR="00426922" w:rsidRPr="00F0706F" w:rsidRDefault="00426922" w:rsidP="00F0706F">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  1</w:t>
            </w:r>
            <w:r w:rsidR="0000306E" w:rsidRPr="0000306E">
              <w:rPr>
                <w:rFonts w:ascii="Arial" w:eastAsia="Times New Roman" w:hAnsi="Arial" w:cs="Arial"/>
                <w:b/>
                <w:color w:val="FFFFFF"/>
                <w:sz w:val="18"/>
                <w:szCs w:val="18"/>
              </w:rPr>
              <w:t>–</w:t>
            </w:r>
            <w:r w:rsidRPr="00F0706F">
              <w:rPr>
                <w:rFonts w:ascii="Arial" w:eastAsia="Times New Roman" w:hAnsi="Arial" w:cs="Arial"/>
                <w:b/>
                <w:color w:val="FFFFFF"/>
                <w:sz w:val="18"/>
                <w:szCs w:val="18"/>
              </w:rPr>
              <w:t>6 PM)</w:t>
            </w:r>
          </w:p>
        </w:tc>
        <w:tc>
          <w:tcPr>
            <w:tcW w:w="1690" w:type="dxa"/>
            <w:tcBorders>
              <w:top w:val="nil"/>
              <w:left w:val="nil"/>
              <w:bottom w:val="single" w:sz="4" w:space="0" w:color="auto"/>
              <w:right w:val="single" w:sz="4" w:space="0" w:color="FFFFFF"/>
            </w:tcBorders>
            <w:shd w:val="clear" w:color="000000" w:fill="0070D0"/>
            <w:vAlign w:val="center"/>
            <w:hideMark/>
          </w:tcPr>
          <w:p w:rsidR="00426922" w:rsidRPr="00F0706F" w:rsidRDefault="00426922" w:rsidP="00F0706F">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  1</w:t>
            </w:r>
            <w:r w:rsidR="0000306E" w:rsidRPr="0000306E">
              <w:rPr>
                <w:rFonts w:ascii="Arial" w:eastAsia="Times New Roman" w:hAnsi="Arial" w:cs="Arial"/>
                <w:b/>
                <w:color w:val="FFFFFF"/>
                <w:sz w:val="18"/>
                <w:szCs w:val="18"/>
              </w:rPr>
              <w:t>–</w:t>
            </w:r>
            <w:r w:rsidRPr="00F0706F">
              <w:rPr>
                <w:rFonts w:ascii="Arial" w:eastAsia="Times New Roman" w:hAnsi="Arial" w:cs="Arial"/>
                <w:b/>
                <w:color w:val="FFFFFF"/>
                <w:sz w:val="18"/>
                <w:szCs w:val="18"/>
              </w:rPr>
              <w:t>6 PM)</w:t>
            </w:r>
          </w:p>
        </w:tc>
        <w:tc>
          <w:tcPr>
            <w:tcW w:w="1620" w:type="dxa"/>
            <w:tcBorders>
              <w:top w:val="nil"/>
              <w:left w:val="nil"/>
              <w:bottom w:val="single" w:sz="4" w:space="0" w:color="auto"/>
              <w:right w:val="single" w:sz="4" w:space="0" w:color="FFFFFF"/>
            </w:tcBorders>
            <w:shd w:val="clear" w:color="000000" w:fill="0070D0"/>
            <w:vAlign w:val="center"/>
            <w:hideMark/>
          </w:tcPr>
          <w:p w:rsidR="00426922" w:rsidRPr="00F0706F" w:rsidRDefault="00F0706F" w:rsidP="00426922">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00306E" w:rsidRPr="0000306E">
              <w:rPr>
                <w:rFonts w:ascii="Arial" w:eastAsia="Times New Roman" w:hAnsi="Arial" w:cs="Arial"/>
                <w:b/>
                <w:color w:val="FFFFFF"/>
                <w:sz w:val="18"/>
                <w:szCs w:val="18"/>
              </w:rPr>
              <w:t>–</w:t>
            </w:r>
            <w:r w:rsidR="00426922" w:rsidRPr="00F0706F">
              <w:rPr>
                <w:rFonts w:ascii="Arial" w:eastAsia="Times New Roman" w:hAnsi="Arial" w:cs="Arial"/>
                <w:b/>
                <w:color w:val="FFFFFF"/>
                <w:sz w:val="18"/>
                <w:szCs w:val="18"/>
              </w:rPr>
              <w:t>6 PM)</w:t>
            </w:r>
          </w:p>
        </w:tc>
        <w:tc>
          <w:tcPr>
            <w:tcW w:w="920" w:type="dxa"/>
            <w:tcBorders>
              <w:top w:val="nil"/>
              <w:left w:val="nil"/>
              <w:bottom w:val="single" w:sz="4" w:space="0" w:color="auto"/>
              <w:right w:val="single" w:sz="4" w:space="0" w:color="FFFFFF"/>
            </w:tcBorders>
            <w:shd w:val="clear" w:color="000000" w:fill="0070D0"/>
            <w:vAlign w:val="center"/>
            <w:hideMark/>
          </w:tcPr>
          <w:p w:rsidR="00426922" w:rsidRPr="00F0706F" w:rsidRDefault="00426922" w:rsidP="00426922">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w:t>
            </w:r>
          </w:p>
        </w:tc>
        <w:tc>
          <w:tcPr>
            <w:tcW w:w="1068" w:type="dxa"/>
            <w:tcBorders>
              <w:top w:val="nil"/>
              <w:left w:val="nil"/>
              <w:bottom w:val="single" w:sz="4" w:space="0" w:color="auto"/>
              <w:right w:val="single" w:sz="4" w:space="0" w:color="auto"/>
            </w:tcBorders>
            <w:shd w:val="clear" w:color="000000" w:fill="0070D0"/>
            <w:vAlign w:val="center"/>
            <w:hideMark/>
          </w:tcPr>
          <w:p w:rsidR="00426922" w:rsidRPr="00F0706F" w:rsidRDefault="00426922" w:rsidP="00426922">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r>
      <w:tr w:rsidR="00F0706F" w:rsidRPr="00426922" w:rsidTr="00F0706F">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26922" w:rsidRPr="00426922" w:rsidRDefault="00CC545C" w:rsidP="00426922">
            <w:pPr>
              <w:spacing w:after="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SC</w:t>
            </w:r>
            <w:r w:rsidR="00426922" w:rsidRPr="00426922">
              <w:rPr>
                <w:rFonts w:ascii="Arial" w:eastAsia="Times New Roman" w:hAnsi="Arial" w:cs="Arial"/>
                <w:color w:val="000000"/>
                <w:sz w:val="18"/>
                <w:szCs w:val="18"/>
              </w:rPr>
              <w:t>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1-in-10</w:t>
            </w: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34,795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143.3</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129.7</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13.6</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95.3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13,918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457.3</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451.9</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95.3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14,366</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472.0</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466.4</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5.6</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95.3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17,375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570.9</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564.1</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6.8</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95.3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1-in-2</w:t>
            </w: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34,795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095.3</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082.2</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13.0</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92.3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13,918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438.1</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432.9</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5.2</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92.3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14,366</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452.2</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446.8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92.3</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17,375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546.9</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540.4</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6.5</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92.3</w:t>
            </w:r>
          </w:p>
        </w:tc>
      </w:tr>
      <w:tr w:rsidR="00F0706F" w:rsidRPr="00426922" w:rsidTr="00F0706F">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1-in-10</w:t>
            </w: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34,795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130.5</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117.0</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13.4</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93.7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13,918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452.2</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446.8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93.7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14,366</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466.7</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461.2</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5.6</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93.7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17,375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564.5</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557.8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6.7</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93.7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1-in-2</w:t>
            </w: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34,795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087.8</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w:t>
            </w:r>
            <w:r w:rsidR="00F75CE5">
              <w:rPr>
                <w:rFonts w:ascii="Arial" w:eastAsia="Times New Roman" w:hAnsi="Arial" w:cs="Arial"/>
                <w:color w:val="000000"/>
                <w:sz w:val="18"/>
                <w:szCs w:val="18"/>
              </w:rPr>
              <w:t>,</w:t>
            </w:r>
            <w:r w:rsidRPr="00426922">
              <w:rPr>
                <w:rFonts w:ascii="Arial" w:eastAsia="Times New Roman" w:hAnsi="Arial" w:cs="Arial"/>
                <w:color w:val="000000"/>
                <w:sz w:val="18"/>
                <w:szCs w:val="18"/>
              </w:rPr>
              <w:t>074.8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12.9</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91.7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13,918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435.1</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429.9</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5.2</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91.7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14,366</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449.1</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443.8</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5.3</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91.7</w:t>
            </w:r>
          </w:p>
        </w:tc>
      </w:tr>
      <w:tr w:rsidR="00F0706F" w:rsidRPr="00426922" w:rsidTr="00F0706F">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26922" w:rsidRPr="00426922" w:rsidRDefault="00426922" w:rsidP="00426922">
            <w:pPr>
              <w:spacing w:after="0" w:line="240" w:lineRule="auto"/>
              <w:rPr>
                <w:rFonts w:ascii="Arial" w:eastAsia="Times New Roman" w:hAnsi="Arial" w:cs="Arial"/>
                <w:color w:val="000000"/>
                <w:sz w:val="18"/>
                <w:szCs w:val="18"/>
              </w:rPr>
            </w:pPr>
          </w:p>
        </w:tc>
        <w:tc>
          <w:tcPr>
            <w:tcW w:w="64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17,375</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543.2</w:t>
            </w:r>
          </w:p>
        </w:tc>
        <w:tc>
          <w:tcPr>
            <w:tcW w:w="169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536.7</w:t>
            </w:r>
          </w:p>
        </w:tc>
        <w:tc>
          <w:tcPr>
            <w:tcW w:w="16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6.5</w:t>
            </w:r>
          </w:p>
        </w:tc>
        <w:tc>
          <w:tcPr>
            <w:tcW w:w="920"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1.2%</w:t>
            </w:r>
          </w:p>
        </w:tc>
        <w:tc>
          <w:tcPr>
            <w:tcW w:w="1068" w:type="dxa"/>
            <w:tcBorders>
              <w:top w:val="nil"/>
              <w:left w:val="nil"/>
              <w:bottom w:val="single" w:sz="4" w:space="0" w:color="auto"/>
              <w:right w:val="single" w:sz="4" w:space="0" w:color="auto"/>
            </w:tcBorders>
            <w:shd w:val="clear" w:color="auto" w:fill="auto"/>
            <w:noWrap/>
            <w:vAlign w:val="center"/>
            <w:hideMark/>
          </w:tcPr>
          <w:p w:rsidR="00426922" w:rsidRPr="00426922" w:rsidRDefault="00426922" w:rsidP="00426922">
            <w:pPr>
              <w:spacing w:after="0" w:line="240" w:lineRule="auto"/>
              <w:jc w:val="center"/>
              <w:rPr>
                <w:rFonts w:ascii="Arial" w:eastAsia="Times New Roman" w:hAnsi="Arial" w:cs="Arial"/>
                <w:color w:val="000000"/>
                <w:sz w:val="18"/>
                <w:szCs w:val="18"/>
              </w:rPr>
            </w:pPr>
            <w:r w:rsidRPr="00426922">
              <w:rPr>
                <w:rFonts w:ascii="Arial" w:eastAsia="Times New Roman" w:hAnsi="Arial" w:cs="Arial"/>
                <w:color w:val="000000"/>
                <w:sz w:val="18"/>
                <w:szCs w:val="18"/>
              </w:rPr>
              <w:t>91.7</w:t>
            </w:r>
          </w:p>
        </w:tc>
      </w:tr>
    </w:tbl>
    <w:p w:rsidR="009A283D" w:rsidRPr="00A907B2" w:rsidRDefault="009A283D" w:rsidP="009A283D">
      <w:pPr>
        <w:pStyle w:val="Heading3"/>
        <w:spacing w:before="360"/>
      </w:pPr>
      <w:bookmarkStart w:id="223" w:name="_Toc415494798"/>
      <w:r>
        <w:t>Ex Ante Impacts by Geographic Location and Month</w:t>
      </w:r>
      <w:bookmarkEnd w:id="223"/>
    </w:p>
    <w:p w:rsidR="009A283D" w:rsidRDefault="009A283D" w:rsidP="009A283D">
      <w:pPr>
        <w:pStyle w:val="BodyParagraph"/>
      </w:pPr>
      <w:r>
        <w:t>Table 7-11 summarizes aggregate 2018 ex ante impacts for each transmission planning area by</w:t>
      </w:r>
      <w:r w:rsidR="0000306E">
        <w:t> </w:t>
      </w:r>
      <w:r>
        <w:t>month for medium C&amp;I CPP customers</w:t>
      </w:r>
      <w:proofErr w:type="gramStart"/>
      <w:r>
        <w:t xml:space="preserve">.  </w:t>
      </w:r>
      <w:proofErr w:type="gramEnd"/>
      <w:r>
        <w:t>It shows the per customer impacts for each monthly system peak day under SCE 1-in-2 and 1</w:t>
      </w:r>
      <w:r>
        <w:noBreakHyphen/>
        <w:t>in-10 system peaking conditions</w:t>
      </w:r>
      <w:proofErr w:type="gramStart"/>
      <w:r w:rsidRPr="00225A57">
        <w:t>.</w:t>
      </w:r>
      <w:r>
        <w:t xml:space="preserve">  </w:t>
      </w:r>
      <w:proofErr w:type="gramEnd"/>
      <w:r>
        <w:t>As a result of the CPP event window ending at 6 PM,</w:t>
      </w:r>
      <w:r w:rsidR="00306612">
        <w:t xml:space="preserve"> impacts are typically between 3 and 4</w:t>
      </w:r>
      <w:r>
        <w:t xml:space="preserve"> times larger in the summer months compared with winter months</w:t>
      </w:r>
      <w:proofErr w:type="gramStart"/>
      <w:r>
        <w:t xml:space="preserve">.  </w:t>
      </w:r>
      <w:proofErr w:type="gramEnd"/>
      <w:r>
        <w:t>Although there is no real empirical data on how customers will respond in winter months, the load impacts in these month</w:t>
      </w:r>
      <w:r w:rsidR="00306612">
        <w:t>s reflect the 1.5% impact from 2</w:t>
      </w:r>
      <w:r>
        <w:t xml:space="preserve"> to 6 PM that was assumed</w:t>
      </w:r>
      <w:proofErr w:type="gramStart"/>
      <w:r>
        <w:t xml:space="preserve">.  </w:t>
      </w:r>
      <w:proofErr w:type="gramEnd"/>
      <w:r>
        <w:t>Differences in impacts over months occur as a result of differences in reference load as well.</w:t>
      </w:r>
    </w:p>
    <w:p w:rsidR="009A283D" w:rsidRDefault="009A283D" w:rsidP="009A283D">
      <w:pPr>
        <w:pStyle w:val="BodyParagraph"/>
      </w:pPr>
      <w:r>
        <w:t xml:space="preserve">The variation in impact by transmission planning area reflects the weather, size of customers and the industry mix in each of SCE’s transmission planning areas, which in turn affect </w:t>
      </w:r>
      <w:r>
        <w:lastRenderedPageBreak/>
        <w:t>reference load</w:t>
      </w:r>
      <w:proofErr w:type="gramStart"/>
      <w:r>
        <w:t>.</w:t>
      </w:r>
      <w:r w:rsidRPr="00225A57">
        <w:t xml:space="preserve">  </w:t>
      </w:r>
      <w:proofErr w:type="gramEnd"/>
      <w:r>
        <w:t>Impacts for 2019, when default CPP will have been fully implemented across SCE’s territory, are shown in the table</w:t>
      </w:r>
      <w:proofErr w:type="gramStart"/>
      <w:r>
        <w:t xml:space="preserve">.  </w:t>
      </w:r>
      <w:proofErr w:type="gramEnd"/>
      <w:r>
        <w:t>Like the large C&amp;I ex ante load impacts by LCA, most of</w:t>
      </w:r>
      <w:r w:rsidR="00D23A53">
        <w:t> </w:t>
      </w:r>
      <w:r>
        <w:t>the load impacts will come from the Orange County and Other transmission planning areas</w:t>
      </w:r>
      <w:proofErr w:type="gramStart"/>
      <w:r>
        <w:t xml:space="preserve">.  </w:t>
      </w:r>
      <w:proofErr w:type="gramEnd"/>
      <w:r>
        <w:t xml:space="preserve">Orange County accounts for 27% of the forecasted 2019 medium </w:t>
      </w:r>
      <w:proofErr w:type="gramStart"/>
      <w:r>
        <w:t>C&amp;I</w:t>
      </w:r>
      <w:proofErr w:type="gramEnd"/>
      <w:r>
        <w:t xml:space="preserve"> enrollment while the Other transmission planning area accounts for 61%.</w:t>
      </w:r>
    </w:p>
    <w:p w:rsidR="009A283D" w:rsidRPr="00DA0B27" w:rsidRDefault="009A283D" w:rsidP="009A283D">
      <w:pPr>
        <w:pStyle w:val="TableFigureCaption"/>
        <w:spacing w:after="0"/>
      </w:pPr>
      <w:r>
        <w:t>Table 7-11</w:t>
      </w:r>
      <w:r w:rsidRPr="00DA0B27">
        <w:t>:</w:t>
      </w:r>
      <w:r>
        <w:t xml:space="preserve"> </w:t>
      </w:r>
      <w:r w:rsidRPr="00DA0B27">
        <w:t xml:space="preserve">Aggregate </w:t>
      </w:r>
      <w:r>
        <w:t>SCE</w:t>
      </w:r>
      <w:r w:rsidRPr="00DA0B27">
        <w:t xml:space="preserve"> Ex Ante Load Impact Estimates by LCA</w:t>
      </w:r>
    </w:p>
    <w:p w:rsidR="009A283D" w:rsidRDefault="009A283D" w:rsidP="009A283D">
      <w:pPr>
        <w:pStyle w:val="TableFigureCaption"/>
      </w:pPr>
      <w:r>
        <w:t xml:space="preserve">Medium C&amp;I </w:t>
      </w:r>
      <w:r w:rsidRPr="00DA0B27">
        <w:t>201</w:t>
      </w:r>
      <w:r>
        <w:t>8</w:t>
      </w:r>
      <w:r w:rsidRPr="00DA0B27">
        <w:t xml:space="preserve"> Monthly System Peak Days</w:t>
      </w:r>
      <w:r>
        <w:t xml:space="preserve"> (1</w:t>
      </w:r>
      <w:r w:rsidR="00D23A53" w:rsidRPr="00D23A53">
        <w:t>–</w:t>
      </w:r>
      <w:r>
        <w:t>6 PM), SCE Weather Scenarios</w:t>
      </w:r>
      <w:r>
        <w:rPr>
          <w:rStyle w:val="FootnoteReference"/>
        </w:rPr>
        <w:footnoteReference w:id="28"/>
      </w:r>
      <w:r w:rsidRPr="00DA0B27">
        <w:t xml:space="preserve"> </w:t>
      </w:r>
    </w:p>
    <w:tbl>
      <w:tblPr>
        <w:tblW w:w="10120" w:type="dxa"/>
        <w:jc w:val="center"/>
        <w:tblInd w:w="93" w:type="dxa"/>
        <w:tblLook w:val="04A0" w:firstRow="1" w:lastRow="0" w:firstColumn="1" w:lastColumn="0" w:noHBand="0" w:noVBand="1"/>
      </w:tblPr>
      <w:tblGrid>
        <w:gridCol w:w="927"/>
        <w:gridCol w:w="1600"/>
        <w:gridCol w:w="640"/>
        <w:gridCol w:w="640"/>
        <w:gridCol w:w="640"/>
        <w:gridCol w:w="640"/>
        <w:gridCol w:w="640"/>
        <w:gridCol w:w="640"/>
        <w:gridCol w:w="640"/>
        <w:gridCol w:w="640"/>
        <w:gridCol w:w="640"/>
        <w:gridCol w:w="640"/>
        <w:gridCol w:w="640"/>
        <w:gridCol w:w="640"/>
      </w:tblGrid>
      <w:tr w:rsidR="008028DC" w:rsidRPr="00493991" w:rsidTr="008028DC">
        <w:trPr>
          <w:trHeight w:val="341"/>
          <w:jc w:val="center"/>
        </w:trPr>
        <w:tc>
          <w:tcPr>
            <w:tcW w:w="840"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Weather Year</w:t>
            </w:r>
          </w:p>
        </w:tc>
        <w:tc>
          <w:tcPr>
            <w:tcW w:w="160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Local Capacity Area</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Jan.</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Feb.</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Mar.</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Apr.</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May</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Jun.</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Jul.</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Aug.</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Sep.</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Oct.</w:t>
            </w:r>
          </w:p>
        </w:tc>
        <w:tc>
          <w:tcPr>
            <w:tcW w:w="64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Nov.</w:t>
            </w:r>
          </w:p>
        </w:tc>
        <w:tc>
          <w:tcPr>
            <w:tcW w:w="640" w:type="dxa"/>
            <w:tcBorders>
              <w:top w:val="single" w:sz="4" w:space="0" w:color="auto"/>
              <w:left w:val="nil"/>
              <w:bottom w:val="single" w:sz="4" w:space="0" w:color="FFFFFF"/>
              <w:right w:val="single" w:sz="4" w:space="0" w:color="auto"/>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Dec.</w:t>
            </w:r>
          </w:p>
        </w:tc>
      </w:tr>
      <w:tr w:rsidR="00493991" w:rsidRPr="00493991" w:rsidTr="00493991">
        <w:trPr>
          <w:trHeight w:val="510"/>
          <w:jc w:val="center"/>
        </w:trPr>
        <w:tc>
          <w:tcPr>
            <w:tcW w:w="840" w:type="dxa"/>
            <w:vMerge/>
            <w:tcBorders>
              <w:top w:val="single" w:sz="4" w:space="0" w:color="auto"/>
              <w:left w:val="single" w:sz="4" w:space="0" w:color="auto"/>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1600" w:type="dxa"/>
            <w:vMerge/>
            <w:tcBorders>
              <w:top w:val="single" w:sz="4" w:space="0" w:color="auto"/>
              <w:left w:val="single" w:sz="4" w:space="0" w:color="FFFFFF"/>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2560" w:type="dxa"/>
            <w:gridSpan w:val="4"/>
            <w:tcBorders>
              <w:top w:val="single" w:sz="4" w:space="0" w:color="FFFFFF"/>
              <w:left w:val="nil"/>
              <w:bottom w:val="single" w:sz="4" w:space="0" w:color="auto"/>
              <w:right w:val="single" w:sz="4" w:space="0" w:color="FFFFFF"/>
            </w:tcBorders>
            <w:shd w:val="clear" w:color="000000" w:fill="0070D0"/>
            <w:vAlign w:val="center"/>
            <w:hideMark/>
          </w:tcPr>
          <w:p w:rsidR="00493991" w:rsidRPr="00493991" w:rsidRDefault="00F0706F" w:rsidP="00F0706F">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4</w:t>
            </w:r>
            <w:r w:rsidR="00D23A53" w:rsidRPr="0000306E">
              <w:rPr>
                <w:rFonts w:ascii="Arial" w:eastAsia="Times New Roman" w:hAnsi="Arial" w:cs="Arial"/>
                <w:b/>
                <w:color w:val="FFFFFF"/>
                <w:sz w:val="18"/>
                <w:szCs w:val="18"/>
              </w:rPr>
              <w:t>–</w:t>
            </w:r>
            <w:r w:rsidR="00493991" w:rsidRPr="00493991">
              <w:rPr>
                <w:rFonts w:ascii="Arial" w:eastAsia="Times New Roman" w:hAnsi="Arial" w:cs="Arial"/>
                <w:b/>
                <w:bCs/>
                <w:color w:val="FFFFFF"/>
                <w:sz w:val="18"/>
                <w:szCs w:val="18"/>
              </w:rPr>
              <w:t xml:space="preserve">9 </w:t>
            </w:r>
            <w:r>
              <w:rPr>
                <w:rFonts w:ascii="Arial" w:eastAsia="Times New Roman" w:hAnsi="Arial" w:cs="Arial"/>
                <w:b/>
                <w:bCs/>
                <w:color w:val="FFFFFF"/>
                <w:sz w:val="18"/>
                <w:szCs w:val="18"/>
              </w:rPr>
              <w:t>PM</w:t>
            </w:r>
            <w:r w:rsidR="00493991" w:rsidRPr="00493991">
              <w:rPr>
                <w:rFonts w:ascii="Arial" w:eastAsia="Times New Roman" w:hAnsi="Arial" w:cs="Arial"/>
                <w:b/>
                <w:bCs/>
                <w:color w:val="FFFFFF"/>
                <w:sz w:val="18"/>
                <w:szCs w:val="18"/>
              </w:rPr>
              <w:t xml:space="preserve"> Resource Adequacy Window</w:t>
            </w:r>
          </w:p>
        </w:tc>
        <w:tc>
          <w:tcPr>
            <w:tcW w:w="3840" w:type="dxa"/>
            <w:gridSpan w:val="6"/>
            <w:tcBorders>
              <w:top w:val="single" w:sz="4" w:space="0" w:color="FFFFFF"/>
              <w:left w:val="nil"/>
              <w:bottom w:val="single" w:sz="4" w:space="0" w:color="auto"/>
              <w:right w:val="single" w:sz="4" w:space="0" w:color="FFFFFF"/>
            </w:tcBorders>
            <w:shd w:val="clear" w:color="000000" w:fill="0070D0"/>
            <w:vAlign w:val="center"/>
            <w:hideMark/>
          </w:tcPr>
          <w:p w:rsidR="00493991" w:rsidRPr="00493991" w:rsidRDefault="00F0706F" w:rsidP="00F0706F">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1</w:t>
            </w:r>
            <w:r w:rsidR="00D23A53" w:rsidRPr="0000306E">
              <w:rPr>
                <w:rFonts w:ascii="Arial" w:eastAsia="Times New Roman" w:hAnsi="Arial" w:cs="Arial"/>
                <w:b/>
                <w:color w:val="FFFFFF"/>
                <w:sz w:val="18"/>
                <w:szCs w:val="18"/>
              </w:rPr>
              <w:t>–</w:t>
            </w:r>
            <w:r w:rsidR="00493991" w:rsidRPr="00493991">
              <w:rPr>
                <w:rFonts w:ascii="Arial" w:eastAsia="Times New Roman" w:hAnsi="Arial" w:cs="Arial"/>
                <w:b/>
                <w:bCs/>
                <w:color w:val="FFFFFF"/>
                <w:sz w:val="18"/>
                <w:szCs w:val="18"/>
              </w:rPr>
              <w:t xml:space="preserve">6 </w:t>
            </w:r>
            <w:r>
              <w:rPr>
                <w:rFonts w:ascii="Arial" w:eastAsia="Times New Roman" w:hAnsi="Arial" w:cs="Arial"/>
                <w:b/>
                <w:bCs/>
                <w:color w:val="FFFFFF"/>
                <w:sz w:val="18"/>
                <w:szCs w:val="18"/>
              </w:rPr>
              <w:t>PM</w:t>
            </w:r>
            <w:r w:rsidR="00493991" w:rsidRPr="00493991">
              <w:rPr>
                <w:rFonts w:ascii="Arial" w:eastAsia="Times New Roman" w:hAnsi="Arial" w:cs="Arial"/>
                <w:b/>
                <w:bCs/>
                <w:color w:val="FFFFFF"/>
                <w:sz w:val="18"/>
                <w:szCs w:val="18"/>
              </w:rPr>
              <w:t xml:space="preserve"> Resource Adequacy Window</w:t>
            </w:r>
          </w:p>
        </w:tc>
        <w:tc>
          <w:tcPr>
            <w:tcW w:w="1280" w:type="dxa"/>
            <w:gridSpan w:val="2"/>
            <w:tcBorders>
              <w:top w:val="single" w:sz="4" w:space="0" w:color="FFFFFF"/>
              <w:left w:val="nil"/>
              <w:bottom w:val="single" w:sz="4" w:space="0" w:color="auto"/>
              <w:right w:val="single" w:sz="4" w:space="0" w:color="000000"/>
            </w:tcBorders>
            <w:shd w:val="clear" w:color="000000" w:fill="0070D0"/>
            <w:vAlign w:val="center"/>
            <w:hideMark/>
          </w:tcPr>
          <w:p w:rsidR="00493991" w:rsidRPr="00493991" w:rsidRDefault="00493991" w:rsidP="00F0706F">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4</w:t>
            </w:r>
            <w:r w:rsidR="00D23A53" w:rsidRPr="0000306E">
              <w:rPr>
                <w:rFonts w:ascii="Arial" w:eastAsia="Times New Roman" w:hAnsi="Arial" w:cs="Arial"/>
                <w:b/>
                <w:color w:val="FFFFFF"/>
                <w:sz w:val="18"/>
                <w:szCs w:val="18"/>
              </w:rPr>
              <w:t>–</w:t>
            </w:r>
            <w:r w:rsidRPr="00493991">
              <w:rPr>
                <w:rFonts w:ascii="Arial" w:eastAsia="Times New Roman" w:hAnsi="Arial" w:cs="Arial"/>
                <w:b/>
                <w:bCs/>
                <w:color w:val="FFFFFF"/>
                <w:sz w:val="18"/>
                <w:szCs w:val="18"/>
              </w:rPr>
              <w:t xml:space="preserve">9 </w:t>
            </w:r>
            <w:r w:rsidR="00F0706F">
              <w:rPr>
                <w:rFonts w:ascii="Arial" w:eastAsia="Times New Roman" w:hAnsi="Arial" w:cs="Arial"/>
                <w:b/>
                <w:bCs/>
                <w:color w:val="FFFFFF"/>
                <w:sz w:val="18"/>
                <w:szCs w:val="18"/>
              </w:rPr>
              <w:t>PM</w:t>
            </w:r>
          </w:p>
        </w:tc>
      </w:tr>
      <w:tr w:rsidR="00493991" w:rsidRPr="00493991" w:rsidTr="00493991">
        <w:trPr>
          <w:trHeight w:val="240"/>
          <w:jc w:val="center"/>
        </w:trPr>
        <w:tc>
          <w:tcPr>
            <w:tcW w:w="84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1-in-10</w:t>
            </w: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All</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1.8</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Orange County</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South of Lugo</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0.8</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Other</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r>
      <w:tr w:rsidR="00493991" w:rsidRPr="00493991" w:rsidTr="00493991">
        <w:trPr>
          <w:trHeight w:val="240"/>
          <w:jc w:val="center"/>
        </w:trPr>
        <w:tc>
          <w:tcPr>
            <w:tcW w:w="84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1-in-2</w:t>
            </w: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All</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4.8</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4.8</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Orange County</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1.4</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0.5</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0.4</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South of Lugo</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0.7</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0.3</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0.2</w:t>
            </w:r>
          </w:p>
        </w:tc>
      </w:tr>
      <w:tr w:rsidR="00493991" w:rsidRPr="00493991" w:rsidTr="00493991">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160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Other</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1.2</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2.6</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3.0</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2.9</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2.8</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1.1</w:t>
            </w:r>
          </w:p>
        </w:tc>
        <w:tc>
          <w:tcPr>
            <w:tcW w:w="640" w:type="dxa"/>
            <w:tcBorders>
              <w:top w:val="nil"/>
              <w:left w:val="nil"/>
              <w:bottom w:val="single" w:sz="4" w:space="0" w:color="000000"/>
              <w:right w:val="single" w:sz="4" w:space="0" w:color="000000"/>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w:t>
            </w:r>
          </w:p>
        </w:tc>
      </w:tr>
    </w:tbl>
    <w:p w:rsidR="009A283D" w:rsidRDefault="009A283D" w:rsidP="009A283D">
      <w:pPr>
        <w:pStyle w:val="BodyParagraph"/>
      </w:pPr>
    </w:p>
    <w:p w:rsidR="009A283D" w:rsidRDefault="009A283D" w:rsidP="009A283D">
      <w:pPr>
        <w:pStyle w:val="Heading2"/>
      </w:pPr>
      <w:bookmarkStart w:id="224" w:name="_Toc415494799"/>
      <w:r>
        <w:t>Small C&amp;I Ex Ante Impacts</w:t>
      </w:r>
      <w:bookmarkEnd w:id="224"/>
    </w:p>
    <w:p w:rsidR="009A283D" w:rsidRDefault="009A283D" w:rsidP="009A283D">
      <w:pPr>
        <w:pStyle w:val="BodyParagraph"/>
        <w:tabs>
          <w:tab w:val="left" w:pos="4590"/>
        </w:tabs>
      </w:pPr>
      <w:r>
        <w:t>As was true for medium customers, there are no ex post impacts upon which to b</w:t>
      </w:r>
      <w:r w:rsidR="00D23A53">
        <w:t>as</w:t>
      </w:r>
      <w:r>
        <w:t>e ex ante estimates</w:t>
      </w:r>
      <w:proofErr w:type="gramStart"/>
      <w:r>
        <w:t xml:space="preserve">.  </w:t>
      </w:r>
      <w:proofErr w:type="gramEnd"/>
      <w:r>
        <w:t>As discussed in the prior section, a 2% load reduction is assumed to apply to small customers.</w:t>
      </w:r>
    </w:p>
    <w:p w:rsidR="009A283D" w:rsidRDefault="009A283D" w:rsidP="009A283D">
      <w:pPr>
        <w:pStyle w:val="BodyParagraph"/>
        <w:tabs>
          <w:tab w:val="left" w:pos="4590"/>
        </w:tabs>
      </w:pPr>
      <w:r>
        <w:t>Table 7-12 presents SCE's enrollment projections for small C&amp;I customers through 2025</w:t>
      </w:r>
      <w:proofErr w:type="gramStart"/>
      <w:r>
        <w:t xml:space="preserve">.  </w:t>
      </w:r>
      <w:proofErr w:type="gramEnd"/>
      <w:r>
        <w:t>As with medium C&amp;I customers, small C&amp;I customers with at least 24-months of experience on a TOU rate will be defaulted onto CPP in April 2017</w:t>
      </w:r>
      <w:proofErr w:type="gramStart"/>
      <w:r>
        <w:t xml:space="preserve">.  </w:t>
      </w:r>
      <w:proofErr w:type="gramEnd"/>
      <w:r>
        <w:t>Of the customers who were already defaulted in April 2017, 86,082 small C&amp;I customers are projected to remain on CPP</w:t>
      </w:r>
      <w:proofErr w:type="gramStart"/>
      <w:r>
        <w:t xml:space="preserve">.  </w:t>
      </w:r>
      <w:proofErr w:type="gramEnd"/>
      <w:r>
        <w:t>By April 2025, the small C&amp;I population is expected to reach enrollment of 107,465 accounts as a result of growth in accounts.</w:t>
      </w:r>
    </w:p>
    <w:p w:rsidR="009A283D" w:rsidRPr="002617A0" w:rsidRDefault="009A283D" w:rsidP="009A283D">
      <w:pPr>
        <w:pStyle w:val="TableFigureCaption"/>
        <w:spacing w:after="0"/>
      </w:pPr>
      <w:r>
        <w:t>Table 7-12: SC</w:t>
      </w:r>
      <w:r w:rsidRPr="002617A0">
        <w:t>E Enrollment Pr</w:t>
      </w:r>
      <w:r>
        <w:t>ojections for Small</w:t>
      </w:r>
      <w:r w:rsidRPr="002617A0">
        <w:t xml:space="preserve"> </w:t>
      </w:r>
      <w:proofErr w:type="gramStart"/>
      <w:r w:rsidRPr="002617A0">
        <w:t>C&amp;I</w:t>
      </w:r>
      <w:proofErr w:type="gramEnd"/>
      <w:r w:rsidRPr="002617A0">
        <w:t xml:space="preserve"> CPP Customers</w:t>
      </w:r>
    </w:p>
    <w:p w:rsidR="009A283D" w:rsidRDefault="009A283D" w:rsidP="009A283D">
      <w:pPr>
        <w:pStyle w:val="TableFigureCaption"/>
      </w:pPr>
      <w:proofErr w:type="gramStart"/>
      <w:r w:rsidRPr="002617A0">
        <w:t>by</w:t>
      </w:r>
      <w:proofErr w:type="gramEnd"/>
      <w:r w:rsidRPr="002617A0">
        <w:t xml:space="preserve"> Forecast Year and Month</w:t>
      </w:r>
    </w:p>
    <w:tbl>
      <w:tblPr>
        <w:tblW w:w="9820" w:type="dxa"/>
        <w:jc w:val="center"/>
        <w:tblInd w:w="93" w:type="dxa"/>
        <w:tblLook w:val="04A0" w:firstRow="1" w:lastRow="0" w:firstColumn="1" w:lastColumn="0" w:noHBand="0" w:noVBand="1"/>
      </w:tblPr>
      <w:tblGrid>
        <w:gridCol w:w="700"/>
        <w:gridCol w:w="867"/>
        <w:gridCol w:w="867"/>
        <w:gridCol w:w="867"/>
        <w:gridCol w:w="867"/>
        <w:gridCol w:w="867"/>
        <w:gridCol w:w="867"/>
        <w:gridCol w:w="867"/>
        <w:gridCol w:w="867"/>
        <w:gridCol w:w="867"/>
        <w:gridCol w:w="867"/>
        <w:gridCol w:w="867"/>
        <w:gridCol w:w="867"/>
      </w:tblGrid>
      <w:tr w:rsidR="008028DC" w:rsidRPr="003B77E5" w:rsidTr="008028DC">
        <w:trPr>
          <w:trHeight w:val="386"/>
          <w:jc w:val="center"/>
        </w:trPr>
        <w:tc>
          <w:tcPr>
            <w:tcW w:w="700" w:type="dxa"/>
            <w:tcBorders>
              <w:top w:val="single" w:sz="4" w:space="0" w:color="000000"/>
              <w:left w:val="single" w:sz="4" w:space="0" w:color="000000"/>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Year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Jan.</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Feb.</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Mar.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Apr.</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May</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Jun.</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Jul.</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Aug.</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Sep.</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Oct.</w:t>
            </w:r>
          </w:p>
        </w:tc>
        <w:tc>
          <w:tcPr>
            <w:tcW w:w="760" w:type="dxa"/>
            <w:tcBorders>
              <w:top w:val="single" w:sz="4" w:space="0" w:color="000000"/>
              <w:left w:val="nil"/>
              <w:bottom w:val="single" w:sz="4" w:space="0" w:color="000000"/>
              <w:right w:val="single" w:sz="4" w:space="0" w:color="FFFFFF"/>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Nov.</w:t>
            </w:r>
          </w:p>
        </w:tc>
        <w:tc>
          <w:tcPr>
            <w:tcW w:w="760" w:type="dxa"/>
            <w:tcBorders>
              <w:top w:val="single" w:sz="4" w:space="0" w:color="000000"/>
              <w:left w:val="nil"/>
              <w:bottom w:val="single" w:sz="4" w:space="0" w:color="000000"/>
              <w:right w:val="single" w:sz="4" w:space="0" w:color="000000"/>
            </w:tcBorders>
            <w:shd w:val="clear" w:color="000000" w:fill="0070D0"/>
            <w:noWrap/>
            <w:vAlign w:val="center"/>
            <w:hideMark/>
          </w:tcPr>
          <w:p w:rsidR="009A283D" w:rsidRPr="003B77E5" w:rsidRDefault="009A283D" w:rsidP="006D677D">
            <w:pPr>
              <w:spacing w:after="0" w:line="240" w:lineRule="auto"/>
              <w:jc w:val="center"/>
              <w:rPr>
                <w:rFonts w:ascii="Arial" w:eastAsia="Times New Roman" w:hAnsi="Arial" w:cs="Arial"/>
                <w:b/>
                <w:bCs/>
                <w:color w:val="FFFFFF"/>
                <w:sz w:val="18"/>
                <w:szCs w:val="18"/>
              </w:rPr>
            </w:pPr>
            <w:r w:rsidRPr="003B77E5">
              <w:rPr>
                <w:rFonts w:ascii="Arial" w:eastAsia="Times New Roman" w:hAnsi="Arial" w:cs="Arial"/>
                <w:b/>
                <w:bCs/>
                <w:color w:val="FFFFFF"/>
                <w:sz w:val="18"/>
                <w:szCs w:val="18"/>
              </w:rPr>
              <w:t>Dec.</w:t>
            </w:r>
          </w:p>
        </w:tc>
      </w:tr>
      <w:tr w:rsidR="009A283D" w:rsidRPr="003B77E5" w:rsidTr="008028DC">
        <w:trPr>
          <w:trHeight w:val="350"/>
          <w:jc w:val="center"/>
        </w:trPr>
        <w:tc>
          <w:tcPr>
            <w:tcW w:w="70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2017</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0</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r>
      <w:tr w:rsidR="009A283D" w:rsidRPr="003B77E5" w:rsidTr="008028DC">
        <w:trPr>
          <w:trHeight w:val="350"/>
          <w:jc w:val="center"/>
        </w:trPr>
        <w:tc>
          <w:tcPr>
            <w:tcW w:w="70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2018</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215,205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r>
      <w:tr w:rsidR="009A283D" w:rsidRPr="003B77E5" w:rsidTr="008028DC">
        <w:trPr>
          <w:trHeight w:val="341"/>
          <w:jc w:val="center"/>
        </w:trPr>
        <w:tc>
          <w:tcPr>
            <w:tcW w:w="70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2019</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86,082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88,854</w:t>
            </w:r>
          </w:p>
        </w:tc>
      </w:tr>
      <w:tr w:rsidR="009A283D" w:rsidRPr="003B77E5" w:rsidTr="008028DC">
        <w:trPr>
          <w:trHeight w:val="359"/>
          <w:jc w:val="center"/>
        </w:trPr>
        <w:tc>
          <w:tcPr>
            <w:tcW w:w="70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2025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104,112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104,112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104,112</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c>
          <w:tcPr>
            <w:tcW w:w="760" w:type="dxa"/>
            <w:tcBorders>
              <w:top w:val="nil"/>
              <w:left w:val="nil"/>
              <w:bottom w:val="single" w:sz="4" w:space="0" w:color="000000"/>
              <w:right w:val="single" w:sz="4" w:space="0" w:color="000000"/>
            </w:tcBorders>
            <w:shd w:val="clear" w:color="auto" w:fill="auto"/>
            <w:noWrap/>
            <w:vAlign w:val="center"/>
            <w:hideMark/>
          </w:tcPr>
          <w:p w:rsidR="009A283D" w:rsidRPr="003B77E5" w:rsidRDefault="009A283D" w:rsidP="006D677D">
            <w:pPr>
              <w:spacing w:after="0" w:line="240" w:lineRule="auto"/>
              <w:jc w:val="center"/>
              <w:rPr>
                <w:rFonts w:ascii="Arial" w:eastAsia="Times New Roman" w:hAnsi="Arial" w:cs="Arial"/>
                <w:color w:val="000000"/>
                <w:sz w:val="18"/>
                <w:szCs w:val="18"/>
              </w:rPr>
            </w:pPr>
            <w:r w:rsidRPr="003B77E5">
              <w:rPr>
                <w:rFonts w:ascii="Arial" w:eastAsia="Times New Roman" w:hAnsi="Arial" w:cs="Arial"/>
                <w:color w:val="000000"/>
                <w:sz w:val="18"/>
                <w:szCs w:val="18"/>
              </w:rPr>
              <w:t>107,465</w:t>
            </w:r>
          </w:p>
        </w:tc>
      </w:tr>
    </w:tbl>
    <w:p w:rsidR="009A283D" w:rsidRPr="004C65EF" w:rsidRDefault="009A283D" w:rsidP="009A283D">
      <w:pPr>
        <w:pStyle w:val="Heading3"/>
        <w:spacing w:before="360"/>
        <w:rPr>
          <w:rFonts w:cs="Calibri"/>
        </w:rPr>
      </w:pPr>
      <w:bookmarkStart w:id="225" w:name="_Toc415494800"/>
      <w:r w:rsidRPr="004C65EF">
        <w:lastRenderedPageBreak/>
        <w:t>Annual System Peak Day Impacts</w:t>
      </w:r>
      <w:bookmarkEnd w:id="225"/>
    </w:p>
    <w:p w:rsidR="009A283D" w:rsidRPr="004C65EF" w:rsidRDefault="009A283D" w:rsidP="009A283D">
      <w:pPr>
        <w:pStyle w:val="BodyParagraph"/>
      </w:pPr>
      <w:r>
        <w:t>Table 7-13</w:t>
      </w:r>
      <w:r w:rsidRPr="004C65EF">
        <w:t xml:space="preserve"> summarizes the aggregate </w:t>
      </w:r>
      <w:r>
        <w:t>load impact estimates for small C&amp;I customers on SC</w:t>
      </w:r>
      <w:r w:rsidRPr="004C65EF">
        <w:t>E’s CPP rate for each forecast year under both</w:t>
      </w:r>
      <w:r>
        <w:t xml:space="preserve"> 1-in-2 and 1-in-10 year weather</w:t>
      </w:r>
      <w:r w:rsidRPr="004C65EF">
        <w:t xml:space="preserve"> scenarios</w:t>
      </w:r>
      <w:r>
        <w:t>, based on both SCE and CAISO weather scenarios</w:t>
      </w:r>
      <w:proofErr w:type="gramStart"/>
      <w:r w:rsidRPr="004C65EF">
        <w:t xml:space="preserve">.  </w:t>
      </w:r>
      <w:proofErr w:type="gramEnd"/>
      <w:r w:rsidRPr="004C65EF">
        <w:t>The table shows the average load reduction across the 1</w:t>
      </w:r>
      <w:r>
        <w:t xml:space="preserve"> to </w:t>
      </w:r>
      <w:r w:rsidRPr="004C65EF">
        <w:t>6 PM event period for an August monthly system peak day.</w:t>
      </w:r>
    </w:p>
    <w:p w:rsidR="009A283D" w:rsidRDefault="009A283D" w:rsidP="009A283D">
      <w:pPr>
        <w:pStyle w:val="BodyParagraph"/>
      </w:pPr>
      <w:r>
        <w:t>Looking first at the aggregate load impacts based on SCE-specific weather, Augus</w:t>
      </w:r>
      <w:r w:rsidR="00493991">
        <w:t>t load reductions fall from 8.1</w:t>
      </w:r>
      <w:r>
        <w:t xml:space="preserve"> MW in 2017</w:t>
      </w:r>
      <w:r w:rsidRPr="004C65EF">
        <w:t xml:space="preserve"> </w:t>
      </w:r>
      <w:r w:rsidR="00493991">
        <w:t>to around 3.2</w:t>
      </w:r>
      <w:r>
        <w:t xml:space="preserve"> MW in 2018 under 1-in-10</w:t>
      </w:r>
      <w:r w:rsidRPr="004C65EF">
        <w:t xml:space="preserve"> weather conditions</w:t>
      </w:r>
      <w:r w:rsidR="00493991">
        <w:t>, and proceed to increase to 4.0</w:t>
      </w:r>
      <w:r>
        <w:t xml:space="preserve"> MW in 2025</w:t>
      </w:r>
      <w:proofErr w:type="gramStart"/>
      <w:r w:rsidRPr="004C65EF">
        <w:t xml:space="preserve">.  </w:t>
      </w:r>
      <w:proofErr w:type="gramEnd"/>
      <w:r w:rsidR="00D23A53">
        <w:t>After</w:t>
      </w:r>
      <w:r w:rsidR="00D23A53" w:rsidRPr="004C65EF">
        <w:t xml:space="preserve"> </w:t>
      </w:r>
      <w:r w:rsidRPr="004C65EF">
        <w:t xml:space="preserve">default CPP is fully implemented, </w:t>
      </w:r>
      <w:r>
        <w:t>small</w:t>
      </w:r>
      <w:r w:rsidRPr="004C65EF">
        <w:t xml:space="preserve"> customers are foreca</w:t>
      </w:r>
      <w:r w:rsidR="00493991">
        <w:t>sted to reduce 1.6</w:t>
      </w:r>
      <w:r w:rsidRPr="004C65EF">
        <w:t>% of their demand under</w:t>
      </w:r>
      <w:r>
        <w:t xml:space="preserve"> all weather conditions</w:t>
      </w:r>
      <w:proofErr w:type="gramStart"/>
      <w:r w:rsidRPr="004C65EF">
        <w:t>.</w:t>
      </w:r>
      <w:r>
        <w:t xml:space="preserve">  </w:t>
      </w:r>
      <w:proofErr w:type="gramEnd"/>
      <w:r>
        <w:t>The estimated percent reductions are constant as enrollment increases</w:t>
      </w:r>
      <w:proofErr w:type="gramStart"/>
      <w:r>
        <w:t>.</w:t>
      </w:r>
      <w:r w:rsidR="00D23A53">
        <w:t xml:space="preserve"> </w:t>
      </w:r>
      <w:r>
        <w:t xml:space="preserve"> </w:t>
      </w:r>
      <w:proofErr w:type="gramEnd"/>
      <w:r>
        <w:t xml:space="preserve">Impact estimates based on CAISO weather 1-in-2 year conditions are </w:t>
      </w:r>
      <w:r w:rsidR="00493991">
        <w:t>very similar to</w:t>
      </w:r>
      <w:r>
        <w:t xml:space="preserve"> estimates based on SCE weather</w:t>
      </w:r>
      <w:proofErr w:type="gramStart"/>
      <w:r>
        <w:t xml:space="preserve">.  </w:t>
      </w:r>
      <w:proofErr w:type="gramEnd"/>
      <w:r>
        <w:t>The CA</w:t>
      </w:r>
      <w:r w:rsidR="006D677D">
        <w:t>I</w:t>
      </w:r>
      <w:r>
        <w:t xml:space="preserve">SO 1-in-10 weather values also produce a load reduction that is </w:t>
      </w:r>
      <w:r w:rsidR="00493991">
        <w:t xml:space="preserve">nearly identical to that of </w:t>
      </w:r>
      <w:r>
        <w:t>the 1-in-10 year SCE estimates.</w:t>
      </w:r>
    </w:p>
    <w:p w:rsidR="009A283D" w:rsidRDefault="009A283D" w:rsidP="009A283D">
      <w:pPr>
        <w:pStyle w:val="BodyParagraph"/>
      </w:pPr>
    </w:p>
    <w:p w:rsidR="009A283D" w:rsidRDefault="009A283D" w:rsidP="009A283D">
      <w:pPr>
        <w:pStyle w:val="BodyParagraph"/>
      </w:pPr>
      <w:r>
        <w:br w:type="page"/>
      </w:r>
    </w:p>
    <w:p w:rsidR="009A283D" w:rsidRDefault="009A283D" w:rsidP="009A283D">
      <w:pPr>
        <w:pStyle w:val="TableFigureCaption"/>
      </w:pPr>
      <w:r>
        <w:lastRenderedPageBreak/>
        <w:t>Table 7-13</w:t>
      </w:r>
      <w:r w:rsidRPr="00817826">
        <w:t xml:space="preserve">: </w:t>
      </w:r>
      <w:r>
        <w:t xml:space="preserve">Aggregate </w:t>
      </w:r>
      <w:r w:rsidRPr="00817826">
        <w:t>Default CPP Ex Ante Load Impact Estimate</w:t>
      </w:r>
      <w:r>
        <w:t>s by Weather Scenario for Small</w:t>
      </w:r>
      <w:r w:rsidRPr="00817826">
        <w:t xml:space="preserve"> C&amp;I</w:t>
      </w:r>
      <w:r>
        <w:t>, SCE</w:t>
      </w:r>
      <w:r w:rsidRPr="00817826">
        <w:t xml:space="preserve"> August System Peak Day (</w:t>
      </w:r>
      <w:r>
        <w:t>1</w:t>
      </w:r>
      <w:r w:rsidR="00D23A53" w:rsidRPr="00D23A53">
        <w:t>–</w:t>
      </w:r>
      <w:r w:rsidRPr="00817826">
        <w:t>6 PM)</w:t>
      </w:r>
    </w:p>
    <w:tbl>
      <w:tblPr>
        <w:tblW w:w="10251" w:type="dxa"/>
        <w:jc w:val="center"/>
        <w:tblInd w:w="93" w:type="dxa"/>
        <w:tblLayout w:type="fixed"/>
        <w:tblLook w:val="04A0" w:firstRow="1" w:lastRow="0" w:firstColumn="1" w:lastColumn="0" w:noHBand="0" w:noVBand="1"/>
      </w:tblPr>
      <w:tblGrid>
        <w:gridCol w:w="960"/>
        <w:gridCol w:w="927"/>
        <w:gridCol w:w="629"/>
        <w:gridCol w:w="1102"/>
        <w:gridCol w:w="1386"/>
        <w:gridCol w:w="1472"/>
        <w:gridCol w:w="1408"/>
        <w:gridCol w:w="1170"/>
        <w:gridCol w:w="1197"/>
      </w:tblGrid>
      <w:tr w:rsidR="008028DC" w:rsidRPr="00493991" w:rsidTr="008028DC">
        <w:trPr>
          <w:trHeight w:val="710"/>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Weather Year</w:t>
            </w:r>
          </w:p>
        </w:tc>
        <w:tc>
          <w:tcPr>
            <w:tcW w:w="629"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Year</w:t>
            </w:r>
          </w:p>
        </w:tc>
        <w:tc>
          <w:tcPr>
            <w:tcW w:w="1102"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Enrolled Accounts</w:t>
            </w:r>
          </w:p>
        </w:tc>
        <w:tc>
          <w:tcPr>
            <w:tcW w:w="1386"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Aggregate Reference Load</w:t>
            </w:r>
          </w:p>
        </w:tc>
        <w:tc>
          <w:tcPr>
            <w:tcW w:w="1472"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Aggregate Estimated Load w/ DR</w:t>
            </w:r>
          </w:p>
        </w:tc>
        <w:tc>
          <w:tcPr>
            <w:tcW w:w="1408"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Aggregate Load Impact</w:t>
            </w:r>
          </w:p>
        </w:tc>
        <w:tc>
          <w:tcPr>
            <w:tcW w:w="1170" w:type="dxa"/>
            <w:tcBorders>
              <w:top w:val="single" w:sz="4" w:space="0" w:color="auto"/>
              <w:left w:val="nil"/>
              <w:bottom w:val="single" w:sz="4" w:space="0" w:color="FFFFFF"/>
              <w:right w:val="single" w:sz="4" w:space="0" w:color="FFFFFF"/>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 Load Reduction</w:t>
            </w:r>
          </w:p>
        </w:tc>
        <w:tc>
          <w:tcPr>
            <w:tcW w:w="1197" w:type="dxa"/>
            <w:tcBorders>
              <w:top w:val="single" w:sz="4" w:space="0" w:color="auto"/>
              <w:left w:val="nil"/>
              <w:bottom w:val="single" w:sz="4" w:space="0" w:color="FFFFFF"/>
              <w:right w:val="single" w:sz="4" w:space="0" w:color="auto"/>
            </w:tcBorders>
            <w:shd w:val="clear" w:color="000000" w:fill="0070D0"/>
            <w:vAlign w:val="center"/>
            <w:hideMark/>
          </w:tcPr>
          <w:p w:rsidR="00493991" w:rsidRPr="00493991" w:rsidRDefault="00493991" w:rsidP="00493991">
            <w:pPr>
              <w:spacing w:after="0" w:line="240" w:lineRule="auto"/>
              <w:jc w:val="center"/>
              <w:rPr>
                <w:rFonts w:ascii="Arial" w:eastAsia="Times New Roman" w:hAnsi="Arial" w:cs="Arial"/>
                <w:b/>
                <w:bCs/>
                <w:color w:val="FFFFFF"/>
                <w:sz w:val="18"/>
                <w:szCs w:val="18"/>
              </w:rPr>
            </w:pPr>
            <w:r w:rsidRPr="00493991">
              <w:rPr>
                <w:rFonts w:ascii="Arial" w:eastAsia="Times New Roman" w:hAnsi="Arial" w:cs="Arial"/>
                <w:b/>
                <w:bCs/>
                <w:color w:val="FFFFFF"/>
                <w:sz w:val="18"/>
                <w:szCs w:val="18"/>
              </w:rPr>
              <w:t>Weighted Temp.</w:t>
            </w:r>
          </w:p>
        </w:tc>
      </w:tr>
      <w:tr w:rsidR="008028DC" w:rsidRPr="00493991" w:rsidTr="008028DC">
        <w:trPr>
          <w:trHeight w:val="48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629" w:type="dxa"/>
            <w:vMerge/>
            <w:tcBorders>
              <w:top w:val="single" w:sz="4" w:space="0" w:color="auto"/>
              <w:left w:val="single" w:sz="4" w:space="0" w:color="FFFFFF"/>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1102" w:type="dxa"/>
            <w:vMerge/>
            <w:tcBorders>
              <w:top w:val="single" w:sz="4" w:space="0" w:color="auto"/>
              <w:left w:val="single" w:sz="4" w:space="0" w:color="FFFFFF"/>
              <w:bottom w:val="single" w:sz="4" w:space="0" w:color="000000"/>
              <w:right w:val="single" w:sz="4" w:space="0" w:color="FFFFFF"/>
            </w:tcBorders>
            <w:vAlign w:val="center"/>
            <w:hideMark/>
          </w:tcPr>
          <w:p w:rsidR="00493991" w:rsidRPr="00493991" w:rsidRDefault="00493991" w:rsidP="00493991">
            <w:pPr>
              <w:spacing w:after="0" w:line="240" w:lineRule="auto"/>
              <w:rPr>
                <w:rFonts w:ascii="Arial" w:eastAsia="Times New Roman" w:hAnsi="Arial" w:cs="Arial"/>
                <w:b/>
                <w:bCs/>
                <w:color w:val="FFFFFF"/>
                <w:sz w:val="18"/>
                <w:szCs w:val="18"/>
              </w:rPr>
            </w:pPr>
          </w:p>
        </w:tc>
        <w:tc>
          <w:tcPr>
            <w:tcW w:w="1386" w:type="dxa"/>
            <w:tcBorders>
              <w:top w:val="nil"/>
              <w:left w:val="nil"/>
              <w:bottom w:val="single" w:sz="4" w:space="0" w:color="auto"/>
              <w:right w:val="single" w:sz="4" w:space="0" w:color="FFFFFF"/>
            </w:tcBorders>
            <w:shd w:val="clear" w:color="000000" w:fill="0070D0"/>
            <w:vAlign w:val="center"/>
            <w:hideMark/>
          </w:tcPr>
          <w:p w:rsidR="00493991" w:rsidRPr="00F0706F" w:rsidRDefault="00493991" w:rsidP="00493991">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  1</w:t>
            </w:r>
            <w:r w:rsidR="00D23A53" w:rsidRPr="0000306E">
              <w:rPr>
                <w:rFonts w:ascii="Arial" w:eastAsia="Times New Roman" w:hAnsi="Arial" w:cs="Arial"/>
                <w:b/>
                <w:color w:val="FFFFFF"/>
                <w:sz w:val="18"/>
                <w:szCs w:val="18"/>
              </w:rPr>
              <w:t>–</w:t>
            </w:r>
            <w:r w:rsidRPr="00F0706F">
              <w:rPr>
                <w:rFonts w:ascii="Arial" w:eastAsia="Times New Roman" w:hAnsi="Arial" w:cs="Arial"/>
                <w:b/>
                <w:color w:val="FFFFFF"/>
                <w:sz w:val="18"/>
                <w:szCs w:val="18"/>
              </w:rPr>
              <w:t>6 PM)</w:t>
            </w:r>
          </w:p>
        </w:tc>
        <w:tc>
          <w:tcPr>
            <w:tcW w:w="1472" w:type="dxa"/>
            <w:tcBorders>
              <w:top w:val="nil"/>
              <w:left w:val="nil"/>
              <w:bottom w:val="single" w:sz="4" w:space="0" w:color="auto"/>
              <w:right w:val="single" w:sz="4" w:space="0" w:color="FFFFFF"/>
            </w:tcBorders>
            <w:shd w:val="clear" w:color="000000" w:fill="0070D0"/>
            <w:vAlign w:val="center"/>
            <w:hideMark/>
          </w:tcPr>
          <w:p w:rsidR="00493991" w:rsidRPr="00F0706F" w:rsidRDefault="00493991" w:rsidP="00493991">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  1</w:t>
            </w:r>
            <w:r w:rsidR="00D23A53" w:rsidRPr="0000306E">
              <w:rPr>
                <w:rFonts w:ascii="Arial" w:eastAsia="Times New Roman" w:hAnsi="Arial" w:cs="Arial"/>
                <w:b/>
                <w:color w:val="FFFFFF"/>
                <w:sz w:val="18"/>
                <w:szCs w:val="18"/>
              </w:rPr>
              <w:t>–</w:t>
            </w:r>
            <w:r w:rsidRPr="00F0706F">
              <w:rPr>
                <w:rFonts w:ascii="Arial" w:eastAsia="Times New Roman" w:hAnsi="Arial" w:cs="Arial"/>
                <w:b/>
                <w:color w:val="FFFFFF"/>
                <w:sz w:val="18"/>
                <w:szCs w:val="18"/>
              </w:rPr>
              <w:t>6 PM)</w:t>
            </w:r>
          </w:p>
        </w:tc>
        <w:tc>
          <w:tcPr>
            <w:tcW w:w="1408" w:type="dxa"/>
            <w:tcBorders>
              <w:top w:val="nil"/>
              <w:left w:val="nil"/>
              <w:bottom w:val="single" w:sz="4" w:space="0" w:color="auto"/>
              <w:right w:val="single" w:sz="4" w:space="0" w:color="FFFFFF"/>
            </w:tcBorders>
            <w:shd w:val="clear" w:color="000000" w:fill="0070D0"/>
            <w:vAlign w:val="center"/>
            <w:hideMark/>
          </w:tcPr>
          <w:p w:rsidR="00493991" w:rsidRPr="00F0706F" w:rsidRDefault="00493991" w:rsidP="00493991">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  1</w:t>
            </w:r>
            <w:r w:rsidR="00D23A53" w:rsidRPr="0000306E">
              <w:rPr>
                <w:rFonts w:ascii="Arial" w:eastAsia="Times New Roman" w:hAnsi="Arial" w:cs="Arial"/>
                <w:b/>
                <w:color w:val="FFFFFF"/>
                <w:sz w:val="18"/>
                <w:szCs w:val="18"/>
              </w:rPr>
              <w:t>–</w:t>
            </w:r>
            <w:r w:rsidRPr="00F0706F">
              <w:rPr>
                <w:rFonts w:ascii="Arial" w:eastAsia="Times New Roman" w:hAnsi="Arial" w:cs="Arial"/>
                <w:b/>
                <w:color w:val="FFFFFF"/>
                <w:sz w:val="18"/>
                <w:szCs w:val="18"/>
              </w:rPr>
              <w:t>6 PM)</w:t>
            </w:r>
          </w:p>
        </w:tc>
        <w:tc>
          <w:tcPr>
            <w:tcW w:w="1170" w:type="dxa"/>
            <w:tcBorders>
              <w:top w:val="nil"/>
              <w:left w:val="nil"/>
              <w:bottom w:val="single" w:sz="4" w:space="0" w:color="auto"/>
              <w:right w:val="single" w:sz="4" w:space="0" w:color="FFFFFF"/>
            </w:tcBorders>
            <w:shd w:val="clear" w:color="000000" w:fill="0070D0"/>
            <w:vAlign w:val="center"/>
            <w:hideMark/>
          </w:tcPr>
          <w:p w:rsidR="00493991" w:rsidRPr="00F0706F" w:rsidRDefault="00493991" w:rsidP="00493991">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w:t>
            </w:r>
          </w:p>
        </w:tc>
        <w:tc>
          <w:tcPr>
            <w:tcW w:w="1197" w:type="dxa"/>
            <w:tcBorders>
              <w:top w:val="nil"/>
              <w:left w:val="nil"/>
              <w:bottom w:val="single" w:sz="4" w:space="0" w:color="auto"/>
              <w:right w:val="single" w:sz="4" w:space="0" w:color="auto"/>
            </w:tcBorders>
            <w:shd w:val="clear" w:color="000000" w:fill="0070D0"/>
            <w:vAlign w:val="center"/>
            <w:hideMark/>
          </w:tcPr>
          <w:p w:rsidR="00493991" w:rsidRPr="00F0706F" w:rsidRDefault="00493991" w:rsidP="00493991">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r>
      <w:tr w:rsidR="00F0706F" w:rsidRPr="00493991" w:rsidTr="008028DC">
        <w:trPr>
          <w:trHeight w:val="240"/>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SCE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1-in-10</w:t>
            </w: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2017</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215,205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511.6</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503.5</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8.1</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95.1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2018</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86,082</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204.7</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201.4</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3.2</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95.1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2019</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88,854</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211.2</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207.9</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3.3</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95.1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2025</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107,465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255.5</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251.4</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4.0</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95.1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1-in-2</w:t>
            </w: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2017</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215,205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482.8</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475.2</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7.6</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92.1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2018</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86,082</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193.1</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190.1</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3.1</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92.1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2019</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88,854</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199.3</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196.2</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3.2</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92.1</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2025</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107,465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241.1</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237.3</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3.8</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92.1</w:t>
            </w:r>
          </w:p>
        </w:tc>
      </w:tr>
      <w:tr w:rsidR="00F0706F" w:rsidRPr="00493991" w:rsidTr="008028DC">
        <w:trPr>
          <w:trHeight w:val="240"/>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1-in-10</w:t>
            </w: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2017</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215,205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504.3</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496.3</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8.0</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93.6</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2018</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86,082</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201.7</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198.5</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3.2</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93.6</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2019</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88,854</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208.2</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204.9</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3.3</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93.6</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2025</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107,465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251.8</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247.9</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4.0</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93.6</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1-in-2</w:t>
            </w: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2017</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215,205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478.5</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470.9</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7.6</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91.5</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2018</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86,082</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191.4</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188.4</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3.0</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91.5</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2019</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88,854</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197.6</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194.4</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3.1</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91.5</w:t>
            </w:r>
          </w:p>
        </w:tc>
      </w:tr>
      <w:tr w:rsidR="00F0706F" w:rsidRPr="00493991" w:rsidTr="008028DC">
        <w:trPr>
          <w:trHeight w:val="240"/>
          <w:jc w:val="center"/>
        </w:trPr>
        <w:tc>
          <w:tcPr>
            <w:tcW w:w="960"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493991" w:rsidRPr="00493991" w:rsidRDefault="00493991" w:rsidP="00493991">
            <w:pPr>
              <w:spacing w:after="0" w:line="240" w:lineRule="auto"/>
              <w:rPr>
                <w:rFonts w:ascii="Arial" w:eastAsia="Times New Roman" w:hAnsi="Arial" w:cs="Arial"/>
                <w:color w:val="000000"/>
                <w:sz w:val="18"/>
                <w:szCs w:val="18"/>
              </w:rPr>
            </w:pPr>
          </w:p>
        </w:tc>
        <w:tc>
          <w:tcPr>
            <w:tcW w:w="629"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2025</w:t>
            </w:r>
          </w:p>
        </w:tc>
        <w:tc>
          <w:tcPr>
            <w:tcW w:w="110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107,465</w:t>
            </w:r>
          </w:p>
        </w:tc>
        <w:tc>
          <w:tcPr>
            <w:tcW w:w="1386"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239.0</w:t>
            </w:r>
          </w:p>
        </w:tc>
        <w:tc>
          <w:tcPr>
            <w:tcW w:w="1472"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235.2</w:t>
            </w:r>
          </w:p>
        </w:tc>
        <w:tc>
          <w:tcPr>
            <w:tcW w:w="1408"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3.8</w:t>
            </w:r>
          </w:p>
        </w:tc>
        <w:tc>
          <w:tcPr>
            <w:tcW w:w="1170"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1.6%</w:t>
            </w:r>
          </w:p>
        </w:tc>
        <w:tc>
          <w:tcPr>
            <w:tcW w:w="1197" w:type="dxa"/>
            <w:tcBorders>
              <w:top w:val="nil"/>
              <w:left w:val="nil"/>
              <w:bottom w:val="single" w:sz="4" w:space="0" w:color="auto"/>
              <w:right w:val="single" w:sz="4" w:space="0" w:color="auto"/>
            </w:tcBorders>
            <w:shd w:val="clear" w:color="auto" w:fill="auto"/>
            <w:noWrap/>
            <w:vAlign w:val="center"/>
            <w:hideMark/>
          </w:tcPr>
          <w:p w:rsidR="00493991" w:rsidRPr="00493991" w:rsidRDefault="00493991" w:rsidP="00493991">
            <w:pPr>
              <w:spacing w:after="0" w:line="240" w:lineRule="auto"/>
              <w:jc w:val="center"/>
              <w:rPr>
                <w:rFonts w:ascii="Arial" w:eastAsia="Times New Roman" w:hAnsi="Arial" w:cs="Arial"/>
                <w:color w:val="000000"/>
                <w:sz w:val="18"/>
                <w:szCs w:val="18"/>
              </w:rPr>
            </w:pPr>
            <w:r w:rsidRPr="00493991">
              <w:rPr>
                <w:rFonts w:ascii="Arial" w:eastAsia="Times New Roman" w:hAnsi="Arial" w:cs="Arial"/>
                <w:color w:val="000000"/>
                <w:sz w:val="18"/>
                <w:szCs w:val="18"/>
              </w:rPr>
              <w:t>91.5</w:t>
            </w:r>
          </w:p>
        </w:tc>
      </w:tr>
    </w:tbl>
    <w:p w:rsidR="009A283D" w:rsidRPr="00A907B2" w:rsidRDefault="009A283D" w:rsidP="009A283D">
      <w:pPr>
        <w:pStyle w:val="Heading3"/>
        <w:spacing w:before="360"/>
      </w:pPr>
      <w:bookmarkStart w:id="226" w:name="_Toc415494801"/>
      <w:r>
        <w:t>Ex Ante Impacts by Geographic Location and Month</w:t>
      </w:r>
      <w:bookmarkEnd w:id="226"/>
    </w:p>
    <w:p w:rsidR="009A283D" w:rsidRDefault="009A283D" w:rsidP="009A283D">
      <w:pPr>
        <w:pStyle w:val="BodyParagraph"/>
      </w:pPr>
      <w:r>
        <w:t>Table 7-14 summarizes aggregate 2018 ex ante impacts for each transmission planning area by</w:t>
      </w:r>
      <w:r w:rsidR="00D23A53">
        <w:t> </w:t>
      </w:r>
      <w:r>
        <w:t>month for small C&amp;I CPP customers</w:t>
      </w:r>
      <w:proofErr w:type="gramStart"/>
      <w:r>
        <w:t xml:space="preserve">.  </w:t>
      </w:r>
      <w:proofErr w:type="gramEnd"/>
      <w:r>
        <w:t>It shows the per customer impacts for each monthly system peak day under SCE 1-in-2 and 1</w:t>
      </w:r>
      <w:r>
        <w:noBreakHyphen/>
        <w:t>in-10 system peaking conditions</w:t>
      </w:r>
      <w:proofErr w:type="gramStart"/>
      <w:r w:rsidRPr="00225A57">
        <w:t>.</w:t>
      </w:r>
      <w:r>
        <w:t xml:space="preserve">  </w:t>
      </w:r>
      <w:proofErr w:type="gramEnd"/>
      <w:r>
        <w:t>As a result of the CPP event window ending at 6 PM,</w:t>
      </w:r>
      <w:r w:rsidR="006F65F4">
        <w:t xml:space="preserve"> impacts are typically between 3 and 4</w:t>
      </w:r>
      <w:r>
        <w:t xml:space="preserve"> times larger in the summer months compared with winter months</w:t>
      </w:r>
      <w:proofErr w:type="gramStart"/>
      <w:r>
        <w:t xml:space="preserve">.  </w:t>
      </w:r>
      <w:proofErr w:type="gramEnd"/>
      <w:r>
        <w:t>Although there is no real empirical data on how customers will respond in winter months, the load impacts in these month</w:t>
      </w:r>
      <w:r w:rsidR="006F65F4">
        <w:t>s reflect the 2% impact from 2</w:t>
      </w:r>
      <w:r>
        <w:t xml:space="preserve"> to 6 PM that was assumed</w:t>
      </w:r>
      <w:proofErr w:type="gramStart"/>
      <w:r>
        <w:t xml:space="preserve">.  </w:t>
      </w:r>
      <w:proofErr w:type="gramEnd"/>
      <w:r>
        <w:t>Differences in impacts over months occur as a result of differences in reference load as well.</w:t>
      </w:r>
    </w:p>
    <w:p w:rsidR="009A283D" w:rsidRDefault="009A283D" w:rsidP="009A283D">
      <w:pPr>
        <w:pStyle w:val="BodyParagraph"/>
      </w:pPr>
      <w:r>
        <w:t>The variation in impact by transmission planning area reflects the weather, size of customers and the industry mix in each of SCE’s transmission planning areas, which in turn affect reference load</w:t>
      </w:r>
      <w:proofErr w:type="gramStart"/>
      <w:r>
        <w:t>.</w:t>
      </w:r>
      <w:r w:rsidRPr="00225A57">
        <w:t xml:space="preserve">  </w:t>
      </w:r>
      <w:proofErr w:type="gramEnd"/>
      <w:r>
        <w:t>Impacts for 2019, when default CPP will have been fully implemented across</w:t>
      </w:r>
      <w:r w:rsidR="00D23A53">
        <w:t> </w:t>
      </w:r>
      <w:r>
        <w:t xml:space="preserve">SCE’s territory, are shown in </w:t>
      </w:r>
      <w:r w:rsidR="00D23A53">
        <w:t>T</w:t>
      </w:r>
      <w:r>
        <w:t>able</w:t>
      </w:r>
      <w:r w:rsidR="00D23A53">
        <w:t xml:space="preserve"> 7-14</w:t>
      </w:r>
      <w:proofErr w:type="gramStart"/>
      <w:r>
        <w:t xml:space="preserve">.  </w:t>
      </w:r>
      <w:proofErr w:type="gramEnd"/>
      <w:r>
        <w:t>Like the large C&amp;I ex ante load impacts by transmission planning area, most of the load impacts will come from the Orange County and Other transmission planning areas</w:t>
      </w:r>
      <w:proofErr w:type="gramStart"/>
      <w:r>
        <w:t xml:space="preserve">.  </w:t>
      </w:r>
      <w:proofErr w:type="gramEnd"/>
      <w:r>
        <w:t xml:space="preserve">Orange County accounts for 24% of the forecasted 2019 medium </w:t>
      </w:r>
      <w:proofErr w:type="gramStart"/>
      <w:r>
        <w:t>C&amp;I</w:t>
      </w:r>
      <w:proofErr w:type="gramEnd"/>
      <w:r>
        <w:t xml:space="preserve"> enrollment while the Other transmission planning area accounts for 65%.</w:t>
      </w:r>
    </w:p>
    <w:p w:rsidR="009A283D" w:rsidRPr="00DA0B27" w:rsidRDefault="009A283D" w:rsidP="009A283D">
      <w:pPr>
        <w:pStyle w:val="TableFigureCaption"/>
        <w:spacing w:after="0"/>
      </w:pPr>
      <w:r>
        <w:lastRenderedPageBreak/>
        <w:t xml:space="preserve">Table </w:t>
      </w:r>
      <w:r w:rsidR="00D23A53">
        <w:t>7</w:t>
      </w:r>
      <w:r>
        <w:t>-1</w:t>
      </w:r>
      <w:r w:rsidR="00D23A53">
        <w:t>4</w:t>
      </w:r>
      <w:r w:rsidRPr="00DA0B27">
        <w:t>:</w:t>
      </w:r>
      <w:r>
        <w:t xml:space="preserve"> </w:t>
      </w:r>
      <w:r w:rsidRPr="00DA0B27">
        <w:t xml:space="preserve">Aggregate </w:t>
      </w:r>
      <w:r w:rsidR="00CC545C">
        <w:t>SC</w:t>
      </w:r>
      <w:r>
        <w:t>E</w:t>
      </w:r>
      <w:r w:rsidRPr="00DA0B27">
        <w:t xml:space="preserve"> Ex Ante Load Impact Estimates by LCA</w:t>
      </w:r>
    </w:p>
    <w:p w:rsidR="009A283D" w:rsidRDefault="009A283D" w:rsidP="009A283D">
      <w:pPr>
        <w:pStyle w:val="TableFigureCaption"/>
      </w:pPr>
      <w:r>
        <w:t xml:space="preserve">Small C&amp;I </w:t>
      </w:r>
      <w:r w:rsidRPr="00DA0B27">
        <w:t>201</w:t>
      </w:r>
      <w:r>
        <w:t>8</w:t>
      </w:r>
      <w:r w:rsidRPr="00DA0B27">
        <w:t xml:space="preserve"> Monthly System Peak Days</w:t>
      </w:r>
      <w:r>
        <w:t xml:space="preserve"> (1</w:t>
      </w:r>
      <w:r w:rsidR="00D23A53" w:rsidRPr="00D23A53">
        <w:t>–</w:t>
      </w:r>
      <w:r w:rsidR="00CC545C">
        <w:t>6 PM), SC</w:t>
      </w:r>
      <w:r>
        <w:t>E Weather Scenarios</w:t>
      </w:r>
      <w:r>
        <w:rPr>
          <w:rStyle w:val="FootnoteReference"/>
        </w:rPr>
        <w:footnoteReference w:id="29"/>
      </w:r>
      <w:r w:rsidRPr="00DA0B27">
        <w:t xml:space="preserve"> </w:t>
      </w:r>
    </w:p>
    <w:tbl>
      <w:tblPr>
        <w:tblW w:w="9560" w:type="dxa"/>
        <w:jc w:val="center"/>
        <w:tblInd w:w="93" w:type="dxa"/>
        <w:tblLook w:val="04A0" w:firstRow="1" w:lastRow="0" w:firstColumn="1" w:lastColumn="0" w:noHBand="0" w:noVBand="1"/>
      </w:tblPr>
      <w:tblGrid>
        <w:gridCol w:w="927"/>
        <w:gridCol w:w="1520"/>
        <w:gridCol w:w="600"/>
        <w:gridCol w:w="600"/>
        <w:gridCol w:w="600"/>
        <w:gridCol w:w="600"/>
        <w:gridCol w:w="600"/>
        <w:gridCol w:w="600"/>
        <w:gridCol w:w="600"/>
        <w:gridCol w:w="616"/>
        <w:gridCol w:w="600"/>
        <w:gridCol w:w="600"/>
        <w:gridCol w:w="607"/>
        <w:gridCol w:w="600"/>
      </w:tblGrid>
      <w:tr w:rsidR="008028DC" w:rsidRPr="00ED3E68" w:rsidTr="008028DC">
        <w:trPr>
          <w:trHeight w:val="359"/>
          <w:jc w:val="center"/>
        </w:trPr>
        <w:tc>
          <w:tcPr>
            <w:tcW w:w="840"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Weather Year</w:t>
            </w:r>
          </w:p>
        </w:tc>
        <w:tc>
          <w:tcPr>
            <w:tcW w:w="152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Local Capacity Area</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Jan.</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Feb.</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Mar.</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Apr.</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May</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Jun.</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Jul.</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Aug.</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Sep.</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Oct.</w:t>
            </w:r>
          </w:p>
        </w:tc>
        <w:tc>
          <w:tcPr>
            <w:tcW w:w="600" w:type="dxa"/>
            <w:tcBorders>
              <w:top w:val="single" w:sz="4" w:space="0" w:color="auto"/>
              <w:left w:val="nil"/>
              <w:bottom w:val="single" w:sz="4" w:space="0" w:color="FFFFFF"/>
              <w:right w:val="single" w:sz="4" w:space="0" w:color="FFFFFF"/>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Nov.</w:t>
            </w:r>
          </w:p>
        </w:tc>
        <w:tc>
          <w:tcPr>
            <w:tcW w:w="600" w:type="dxa"/>
            <w:tcBorders>
              <w:top w:val="single" w:sz="4" w:space="0" w:color="auto"/>
              <w:left w:val="nil"/>
              <w:bottom w:val="single" w:sz="4" w:space="0" w:color="FFFFFF"/>
              <w:right w:val="single" w:sz="4" w:space="0" w:color="auto"/>
            </w:tcBorders>
            <w:shd w:val="clear" w:color="000000" w:fill="0070D0"/>
            <w:vAlign w:val="center"/>
            <w:hideMark/>
          </w:tcPr>
          <w:p w:rsidR="00ED3E68" w:rsidRPr="00ED3E68" w:rsidRDefault="00ED3E68" w:rsidP="00ED3E68">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Dec.</w:t>
            </w:r>
          </w:p>
        </w:tc>
      </w:tr>
      <w:tr w:rsidR="00ED3E68" w:rsidRPr="00ED3E68" w:rsidTr="00ED3E68">
        <w:trPr>
          <w:trHeight w:val="495"/>
          <w:jc w:val="center"/>
        </w:trPr>
        <w:tc>
          <w:tcPr>
            <w:tcW w:w="840" w:type="dxa"/>
            <w:vMerge/>
            <w:tcBorders>
              <w:top w:val="single" w:sz="4" w:space="0" w:color="auto"/>
              <w:left w:val="single" w:sz="4" w:space="0" w:color="auto"/>
              <w:bottom w:val="single" w:sz="4" w:space="0" w:color="000000"/>
              <w:right w:val="single" w:sz="4" w:space="0" w:color="FFFFFF"/>
            </w:tcBorders>
            <w:vAlign w:val="center"/>
            <w:hideMark/>
          </w:tcPr>
          <w:p w:rsidR="00ED3E68" w:rsidRPr="00ED3E68" w:rsidRDefault="00ED3E68" w:rsidP="00ED3E68">
            <w:pPr>
              <w:spacing w:after="0" w:line="240" w:lineRule="auto"/>
              <w:rPr>
                <w:rFonts w:ascii="Arial" w:eastAsia="Times New Roman" w:hAnsi="Arial" w:cs="Arial"/>
                <w:b/>
                <w:bCs/>
                <w:color w:val="FFFFFF"/>
                <w:sz w:val="18"/>
                <w:szCs w:val="18"/>
              </w:rPr>
            </w:pPr>
          </w:p>
        </w:tc>
        <w:tc>
          <w:tcPr>
            <w:tcW w:w="1520" w:type="dxa"/>
            <w:vMerge/>
            <w:tcBorders>
              <w:top w:val="single" w:sz="4" w:space="0" w:color="auto"/>
              <w:left w:val="single" w:sz="4" w:space="0" w:color="FFFFFF"/>
              <w:bottom w:val="single" w:sz="4" w:space="0" w:color="000000"/>
              <w:right w:val="single" w:sz="4" w:space="0" w:color="FFFFFF"/>
            </w:tcBorders>
            <w:vAlign w:val="center"/>
            <w:hideMark/>
          </w:tcPr>
          <w:p w:rsidR="00ED3E68" w:rsidRPr="00ED3E68" w:rsidRDefault="00ED3E68" w:rsidP="00ED3E68">
            <w:pPr>
              <w:spacing w:after="0" w:line="240" w:lineRule="auto"/>
              <w:rPr>
                <w:rFonts w:ascii="Arial" w:eastAsia="Times New Roman" w:hAnsi="Arial" w:cs="Arial"/>
                <w:b/>
                <w:bCs/>
                <w:color w:val="FFFFFF"/>
                <w:sz w:val="18"/>
                <w:szCs w:val="18"/>
              </w:rPr>
            </w:pPr>
          </w:p>
        </w:tc>
        <w:tc>
          <w:tcPr>
            <w:tcW w:w="2400" w:type="dxa"/>
            <w:gridSpan w:val="4"/>
            <w:tcBorders>
              <w:top w:val="single" w:sz="4" w:space="0" w:color="FFFFFF"/>
              <w:left w:val="nil"/>
              <w:bottom w:val="single" w:sz="4" w:space="0" w:color="auto"/>
              <w:right w:val="single" w:sz="4" w:space="0" w:color="FFFFFF"/>
            </w:tcBorders>
            <w:shd w:val="clear" w:color="000000" w:fill="0070D0"/>
            <w:vAlign w:val="center"/>
            <w:hideMark/>
          </w:tcPr>
          <w:p w:rsidR="00ED3E68" w:rsidRPr="00ED3E68" w:rsidRDefault="00ED3E68" w:rsidP="00F0706F">
            <w:pPr>
              <w:spacing w:after="0" w:line="240" w:lineRule="auto"/>
              <w:jc w:val="center"/>
              <w:rPr>
                <w:rFonts w:ascii="Arial" w:eastAsia="Times New Roman" w:hAnsi="Arial" w:cs="Arial"/>
                <w:b/>
                <w:bCs/>
                <w:color w:val="FFFFFF"/>
                <w:sz w:val="18"/>
                <w:szCs w:val="18"/>
              </w:rPr>
            </w:pPr>
            <w:r w:rsidRPr="00ED3E68">
              <w:rPr>
                <w:rFonts w:ascii="Arial" w:eastAsia="Times New Roman" w:hAnsi="Arial" w:cs="Arial"/>
                <w:b/>
                <w:bCs/>
                <w:color w:val="FFFFFF"/>
                <w:sz w:val="18"/>
                <w:szCs w:val="18"/>
              </w:rPr>
              <w:t>4</w:t>
            </w:r>
            <w:r w:rsidR="00D23A53" w:rsidRPr="0000306E">
              <w:rPr>
                <w:rFonts w:ascii="Arial" w:eastAsia="Times New Roman" w:hAnsi="Arial" w:cs="Arial"/>
                <w:b/>
                <w:color w:val="FFFFFF"/>
                <w:sz w:val="18"/>
                <w:szCs w:val="18"/>
              </w:rPr>
              <w:t>–</w:t>
            </w:r>
            <w:r w:rsidRPr="00ED3E68">
              <w:rPr>
                <w:rFonts w:ascii="Arial" w:eastAsia="Times New Roman" w:hAnsi="Arial" w:cs="Arial"/>
                <w:b/>
                <w:bCs/>
                <w:color w:val="FFFFFF"/>
                <w:sz w:val="18"/>
                <w:szCs w:val="18"/>
              </w:rPr>
              <w:t xml:space="preserve">9 </w:t>
            </w:r>
            <w:r w:rsidR="00F0706F">
              <w:rPr>
                <w:rFonts w:ascii="Arial" w:eastAsia="Times New Roman" w:hAnsi="Arial" w:cs="Arial"/>
                <w:b/>
                <w:bCs/>
                <w:color w:val="FFFFFF"/>
                <w:sz w:val="18"/>
                <w:szCs w:val="18"/>
              </w:rPr>
              <w:t>PM</w:t>
            </w:r>
            <w:r w:rsidRPr="00ED3E68">
              <w:rPr>
                <w:rFonts w:ascii="Arial" w:eastAsia="Times New Roman" w:hAnsi="Arial" w:cs="Arial"/>
                <w:b/>
                <w:bCs/>
                <w:color w:val="FFFFFF"/>
                <w:sz w:val="18"/>
                <w:szCs w:val="18"/>
              </w:rPr>
              <w:t xml:space="preserve"> Resource Adequacy Window</w:t>
            </w:r>
          </w:p>
        </w:tc>
        <w:tc>
          <w:tcPr>
            <w:tcW w:w="3600" w:type="dxa"/>
            <w:gridSpan w:val="6"/>
            <w:tcBorders>
              <w:top w:val="single" w:sz="4" w:space="0" w:color="FFFFFF"/>
              <w:left w:val="nil"/>
              <w:bottom w:val="single" w:sz="4" w:space="0" w:color="auto"/>
              <w:right w:val="single" w:sz="4" w:space="0" w:color="FFFFFF"/>
            </w:tcBorders>
            <w:shd w:val="clear" w:color="000000" w:fill="0070D0"/>
            <w:vAlign w:val="center"/>
            <w:hideMark/>
          </w:tcPr>
          <w:p w:rsidR="00ED3E68" w:rsidRPr="00ED3E68" w:rsidRDefault="00F0706F" w:rsidP="00F0706F">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1</w:t>
            </w:r>
            <w:r w:rsidR="00D23A53" w:rsidRPr="0000306E">
              <w:rPr>
                <w:rFonts w:ascii="Arial" w:eastAsia="Times New Roman" w:hAnsi="Arial" w:cs="Arial"/>
                <w:b/>
                <w:color w:val="FFFFFF"/>
                <w:sz w:val="18"/>
                <w:szCs w:val="18"/>
              </w:rPr>
              <w:t>–</w:t>
            </w:r>
            <w:r w:rsidR="00ED3E68" w:rsidRPr="00ED3E68">
              <w:rPr>
                <w:rFonts w:ascii="Arial" w:eastAsia="Times New Roman" w:hAnsi="Arial" w:cs="Arial"/>
                <w:b/>
                <w:bCs/>
                <w:color w:val="FFFFFF"/>
                <w:sz w:val="18"/>
                <w:szCs w:val="18"/>
              </w:rPr>
              <w:t xml:space="preserve">6 </w:t>
            </w:r>
            <w:r>
              <w:rPr>
                <w:rFonts w:ascii="Arial" w:eastAsia="Times New Roman" w:hAnsi="Arial" w:cs="Arial"/>
                <w:b/>
                <w:bCs/>
                <w:color w:val="FFFFFF"/>
                <w:sz w:val="18"/>
                <w:szCs w:val="18"/>
              </w:rPr>
              <w:t>PM</w:t>
            </w:r>
            <w:r w:rsidR="00ED3E68" w:rsidRPr="00ED3E68">
              <w:rPr>
                <w:rFonts w:ascii="Arial" w:eastAsia="Times New Roman" w:hAnsi="Arial" w:cs="Arial"/>
                <w:b/>
                <w:bCs/>
                <w:color w:val="FFFFFF"/>
                <w:sz w:val="18"/>
                <w:szCs w:val="18"/>
              </w:rPr>
              <w:t xml:space="preserve"> Resource Adequacy Window</w:t>
            </w:r>
          </w:p>
        </w:tc>
        <w:tc>
          <w:tcPr>
            <w:tcW w:w="1200" w:type="dxa"/>
            <w:gridSpan w:val="2"/>
            <w:tcBorders>
              <w:top w:val="single" w:sz="4" w:space="0" w:color="FFFFFF"/>
              <w:left w:val="nil"/>
              <w:bottom w:val="single" w:sz="4" w:space="0" w:color="auto"/>
              <w:right w:val="single" w:sz="4" w:space="0" w:color="000000"/>
            </w:tcBorders>
            <w:shd w:val="clear" w:color="000000" w:fill="0070D0"/>
            <w:vAlign w:val="center"/>
            <w:hideMark/>
          </w:tcPr>
          <w:p w:rsidR="00ED3E68" w:rsidRPr="00ED3E68" w:rsidRDefault="00F0706F" w:rsidP="00F0706F">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4</w:t>
            </w:r>
            <w:r w:rsidR="00D23A53" w:rsidRPr="0000306E">
              <w:rPr>
                <w:rFonts w:ascii="Arial" w:eastAsia="Times New Roman" w:hAnsi="Arial" w:cs="Arial"/>
                <w:b/>
                <w:color w:val="FFFFFF"/>
                <w:sz w:val="18"/>
                <w:szCs w:val="18"/>
              </w:rPr>
              <w:t>–</w:t>
            </w:r>
            <w:r w:rsidR="00ED3E68" w:rsidRPr="00ED3E68">
              <w:rPr>
                <w:rFonts w:ascii="Arial" w:eastAsia="Times New Roman" w:hAnsi="Arial" w:cs="Arial"/>
                <w:b/>
                <w:bCs/>
                <w:color w:val="FFFFFF"/>
                <w:sz w:val="18"/>
                <w:szCs w:val="18"/>
              </w:rPr>
              <w:t xml:space="preserve">9 </w:t>
            </w:r>
            <w:r>
              <w:rPr>
                <w:rFonts w:ascii="Arial" w:eastAsia="Times New Roman" w:hAnsi="Arial" w:cs="Arial"/>
                <w:b/>
                <w:bCs/>
                <w:color w:val="FFFFFF"/>
                <w:sz w:val="18"/>
                <w:szCs w:val="18"/>
              </w:rPr>
              <w:t>PM</w:t>
            </w:r>
          </w:p>
        </w:tc>
      </w:tr>
      <w:tr w:rsidR="00ED3E68" w:rsidRPr="00ED3E68" w:rsidTr="00ED3E68">
        <w:trPr>
          <w:trHeight w:val="240"/>
          <w:jc w:val="center"/>
        </w:trPr>
        <w:tc>
          <w:tcPr>
            <w:tcW w:w="84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1-in-10</w:t>
            </w: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All</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1.2</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3.2</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1.2</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1.0</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Orange County</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South of Lugo</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0.4</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Other</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r>
      <w:tr w:rsidR="00ED3E68" w:rsidRPr="00ED3E68" w:rsidTr="00ED3E68">
        <w:trPr>
          <w:trHeight w:val="240"/>
          <w:jc w:val="center"/>
        </w:trPr>
        <w:tc>
          <w:tcPr>
            <w:tcW w:w="840" w:type="dxa"/>
            <w:vMerge w:val="restart"/>
            <w:tcBorders>
              <w:top w:val="nil"/>
              <w:left w:val="single" w:sz="4" w:space="0" w:color="000000"/>
              <w:bottom w:val="single" w:sz="4" w:space="0" w:color="000000"/>
              <w:right w:val="single" w:sz="4" w:space="0" w:color="000000"/>
            </w:tcBorders>
            <w:shd w:val="clear" w:color="auto" w:fill="auto"/>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1-in-2</w:t>
            </w: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All</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2.4</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3.0</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3.2</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2.7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1.0</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Orange County</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0.2</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South of Lugo</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0.3</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0.1</w:t>
            </w:r>
          </w:p>
        </w:tc>
      </w:tr>
      <w:tr w:rsidR="00ED3E68" w:rsidRPr="00ED3E68" w:rsidTr="00ED3E68">
        <w:trPr>
          <w:trHeight w:val="240"/>
          <w:jc w:val="center"/>
        </w:trPr>
        <w:tc>
          <w:tcPr>
            <w:tcW w:w="840" w:type="dxa"/>
            <w:vMerge/>
            <w:tcBorders>
              <w:top w:val="nil"/>
              <w:left w:val="single" w:sz="4" w:space="0" w:color="000000"/>
              <w:bottom w:val="single" w:sz="4" w:space="0" w:color="000000"/>
              <w:right w:val="single" w:sz="4" w:space="0" w:color="000000"/>
            </w:tcBorders>
            <w:vAlign w:val="center"/>
            <w:hideMark/>
          </w:tcPr>
          <w:p w:rsidR="00ED3E68" w:rsidRPr="00ED3E68" w:rsidRDefault="00ED3E68" w:rsidP="00ED3E68">
            <w:pPr>
              <w:spacing w:after="0" w:line="240" w:lineRule="auto"/>
              <w:rPr>
                <w:rFonts w:ascii="Arial" w:eastAsia="Times New Roman" w:hAnsi="Arial" w:cs="Arial"/>
                <w:color w:val="000000"/>
                <w:sz w:val="18"/>
                <w:szCs w:val="18"/>
              </w:rPr>
            </w:pPr>
          </w:p>
        </w:tc>
        <w:tc>
          <w:tcPr>
            <w:tcW w:w="152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Other</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0.5</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1.5</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1.8</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1.9</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1.7</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1.6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c>
          <w:tcPr>
            <w:tcW w:w="600" w:type="dxa"/>
            <w:tcBorders>
              <w:top w:val="nil"/>
              <w:left w:val="nil"/>
              <w:bottom w:val="single" w:sz="4" w:space="0" w:color="000000"/>
              <w:right w:val="single" w:sz="4" w:space="0" w:color="000000"/>
            </w:tcBorders>
            <w:shd w:val="clear" w:color="auto" w:fill="auto"/>
            <w:noWrap/>
            <w:vAlign w:val="center"/>
            <w:hideMark/>
          </w:tcPr>
          <w:p w:rsidR="00ED3E68" w:rsidRPr="00ED3E68" w:rsidRDefault="00ED3E68" w:rsidP="00ED3E68">
            <w:pPr>
              <w:spacing w:after="0" w:line="240" w:lineRule="auto"/>
              <w:jc w:val="center"/>
              <w:rPr>
                <w:rFonts w:ascii="Arial" w:eastAsia="Times New Roman" w:hAnsi="Arial" w:cs="Arial"/>
                <w:color w:val="000000"/>
                <w:sz w:val="18"/>
                <w:szCs w:val="18"/>
              </w:rPr>
            </w:pPr>
            <w:r w:rsidRPr="00ED3E68">
              <w:rPr>
                <w:rFonts w:ascii="Arial" w:eastAsia="Times New Roman" w:hAnsi="Arial" w:cs="Arial"/>
                <w:color w:val="000000"/>
                <w:sz w:val="18"/>
                <w:szCs w:val="18"/>
              </w:rPr>
              <w:t>0.6</w:t>
            </w:r>
          </w:p>
        </w:tc>
      </w:tr>
    </w:tbl>
    <w:p w:rsidR="009A283D" w:rsidRPr="00C8617D" w:rsidRDefault="009A283D" w:rsidP="009A283D">
      <w:pPr>
        <w:pStyle w:val="BodyParagraph"/>
        <w:sectPr w:rsidR="009A283D" w:rsidRPr="00C8617D" w:rsidSect="00B05F6A">
          <w:headerReference w:type="default" r:id="rId80"/>
          <w:footerReference w:type="default" r:id="rId81"/>
          <w:pgSz w:w="12240" w:h="15840"/>
          <w:pgMar w:top="1440" w:right="1440" w:bottom="1440" w:left="1440" w:header="720" w:footer="720" w:gutter="0"/>
          <w:cols w:space="720"/>
          <w:docGrid w:linePitch="360"/>
        </w:sectPr>
      </w:pPr>
    </w:p>
    <w:p w:rsidR="009A283D" w:rsidRDefault="009A283D" w:rsidP="009A283D">
      <w:pPr>
        <w:pStyle w:val="Heading1"/>
        <w:ind w:left="432" w:hanging="432"/>
      </w:pPr>
      <w:bookmarkStart w:id="227" w:name="_Toc412650622"/>
      <w:bookmarkStart w:id="228" w:name="_Toc415494802"/>
      <w:r>
        <w:lastRenderedPageBreak/>
        <w:t>SDG&amp;E Ex Post Load Impacts</w:t>
      </w:r>
      <w:bookmarkEnd w:id="211"/>
      <w:bookmarkEnd w:id="227"/>
      <w:bookmarkEnd w:id="228"/>
    </w:p>
    <w:p w:rsidR="009A283D" w:rsidRDefault="009A283D" w:rsidP="009A283D">
      <w:pPr>
        <w:pStyle w:val="BodyParagraph"/>
        <w:rPr>
          <w:rFonts w:eastAsia="Times New Roman" w:cs="Arial"/>
          <w:bCs/>
          <w:szCs w:val="20"/>
        </w:rPr>
      </w:pPr>
      <w:r>
        <w:t>This section summarizes the ex post load impact evaluation for customers on SDG&amp;E’s CPP tariff</w:t>
      </w:r>
      <w:proofErr w:type="gramStart"/>
      <w:r>
        <w:t xml:space="preserve">.  </w:t>
      </w:r>
      <w:proofErr w:type="gramEnd"/>
      <w:r>
        <w:t xml:space="preserve">SDG&amp;E called </w:t>
      </w:r>
      <w:r w:rsidR="008C0148">
        <w:t>six</w:t>
      </w:r>
      <w:r>
        <w:t xml:space="preserve"> CPP events in 2014</w:t>
      </w:r>
      <w:proofErr w:type="gramStart"/>
      <w:r>
        <w:t xml:space="preserve">.  </w:t>
      </w:r>
      <w:proofErr w:type="gramEnd"/>
      <w:r>
        <w:t>The first event occurred on February 7 and the last was held on September 17</w:t>
      </w:r>
      <w:proofErr w:type="gramStart"/>
      <w:r>
        <w:t xml:space="preserve">.  </w:t>
      </w:r>
      <w:proofErr w:type="gramEnd"/>
      <w:r>
        <w:t>On average, there were 1,142 accounts enrolled on SDG&amp;E’s tariff in 2014</w:t>
      </w:r>
      <w:proofErr w:type="gramStart"/>
      <w:r>
        <w:t xml:space="preserve">.  </w:t>
      </w:r>
      <w:proofErr w:type="gramEnd"/>
      <w:r>
        <w:t>There was some minor variation in enrollment during the course of the summer largely due to typical customer churn, with the highest enrollment at 1,143 participants and the lowest enrollment at 1,141</w:t>
      </w:r>
      <w:proofErr w:type="gramStart"/>
      <w:r>
        <w:t xml:space="preserve">.  </w:t>
      </w:r>
      <w:proofErr w:type="gramEnd"/>
      <w:r>
        <w:t>The average 2014 CPP customer enrollment of 1,142 represents a 7.3% increase from 2013 enrollment, which was 1,064 customers</w:t>
      </w:r>
      <w:proofErr w:type="gramStart"/>
      <w:r>
        <w:t xml:space="preserve">.  </w:t>
      </w:r>
      <w:proofErr w:type="gramEnd"/>
      <w:r>
        <w:rPr>
          <w:rFonts w:eastAsia="Times New Roman" w:cs="Arial"/>
          <w:bCs/>
          <w:szCs w:val="20"/>
        </w:rPr>
        <w:t>Unlike at PG&amp;E and SCE, there is no significant opt-in enrollment on the SDG&amp;E CPP rate</w:t>
      </w:r>
      <w:proofErr w:type="gramStart"/>
      <w:r>
        <w:rPr>
          <w:rFonts w:eastAsia="Times New Roman" w:cs="Arial"/>
          <w:bCs/>
          <w:szCs w:val="20"/>
        </w:rPr>
        <w:t xml:space="preserve">.  </w:t>
      </w:r>
      <w:proofErr w:type="gramEnd"/>
      <w:r>
        <w:t>The participant-weighted average temperature during the event period was 82.7</w:t>
      </w:r>
      <w:r w:rsidRPr="00040C8D">
        <w:rPr>
          <w:rFonts w:eastAsia="Times New Roman" w:cs="Arial"/>
          <w:bCs/>
          <w:szCs w:val="20"/>
        </w:rPr>
        <w:t>°</w:t>
      </w:r>
      <w:r>
        <w:rPr>
          <w:rFonts w:eastAsia="Times New Roman" w:cs="Arial"/>
          <w:bCs/>
          <w:szCs w:val="20"/>
        </w:rPr>
        <w:t xml:space="preserve">F. </w:t>
      </w:r>
    </w:p>
    <w:p w:rsidR="009A283D" w:rsidRDefault="009A283D" w:rsidP="009A283D">
      <w:pPr>
        <w:pStyle w:val="BodyParagraph"/>
      </w:pPr>
      <w:r>
        <w:t>Table 8-1 shows the ex post load impact estimates for each event day and for the average event in 2014</w:t>
      </w:r>
      <w:proofErr w:type="gramStart"/>
      <w:r>
        <w:t xml:space="preserve">.  </w:t>
      </w:r>
      <w:proofErr w:type="gramEnd"/>
      <w:r>
        <w:t>The participant-weighted average temperature during the event period ranged from a low of 60.4</w:t>
      </w:r>
      <w:r>
        <w:rPr>
          <w:rFonts w:cs="Arial"/>
        </w:rPr>
        <w:t>°</w:t>
      </w:r>
      <w:r>
        <w:t>F to a high of 93.8</w:t>
      </w:r>
      <w:r>
        <w:rPr>
          <w:rFonts w:cs="Arial"/>
        </w:rPr>
        <w:t>°</w:t>
      </w:r>
      <w:r>
        <w:t>F</w:t>
      </w:r>
      <w:proofErr w:type="gramStart"/>
      <w:r>
        <w:t xml:space="preserve">.  </w:t>
      </w:r>
      <w:proofErr w:type="gramEnd"/>
      <w:r>
        <w:t>Percent impacts ranged from 7.1% to 11.7%, average impacts ranged from 12.8 kW to 29.5 kW and aggregate impacts ranged from 14.6 MW to 33.7 MW</w:t>
      </w:r>
      <w:proofErr w:type="gramStart"/>
      <w:r>
        <w:t xml:space="preserve">.  </w:t>
      </w:r>
      <w:proofErr w:type="gramEnd"/>
      <w:r>
        <w:t>On the average event day, the average participant reduced peak period load by 8.8%, or 22.3 kW</w:t>
      </w:r>
      <w:proofErr w:type="gramStart"/>
      <w:r>
        <w:t xml:space="preserve">.  </w:t>
      </w:r>
      <w:proofErr w:type="gramEnd"/>
      <w:r>
        <w:t>In aggregate, SDG&amp;E’s CPP customers reduced load by 25.4 MW on average across the four events in 2014.</w:t>
      </w:r>
    </w:p>
    <w:p w:rsidR="009A283D" w:rsidRDefault="009A283D" w:rsidP="009A283D">
      <w:pPr>
        <w:pStyle w:val="TableFigureCaption"/>
      </w:pPr>
      <w:r>
        <w:t>Table 8</w:t>
      </w:r>
      <w:r w:rsidRPr="00E059C3">
        <w:t xml:space="preserve">-1: </w:t>
      </w:r>
      <w:r>
        <w:t>Default CPP Ex Post Load Impact Estimates by Event Day</w:t>
      </w:r>
      <w:r>
        <w:br/>
      </w:r>
      <w:r w:rsidRPr="00E059C3">
        <w:t xml:space="preserve">SDG&amp;E </w:t>
      </w:r>
      <w:r>
        <w:t xml:space="preserve">2014 </w:t>
      </w:r>
      <w:r w:rsidRPr="00E059C3">
        <w:t>CPP Events</w:t>
      </w:r>
      <w:bookmarkStart w:id="229" w:name="_Toc326072122"/>
      <w:r>
        <w:t xml:space="preserve"> (11 AM to 6 PM)</w:t>
      </w:r>
    </w:p>
    <w:tbl>
      <w:tblPr>
        <w:tblW w:w="11603" w:type="dxa"/>
        <w:jc w:val="center"/>
        <w:tblInd w:w="93" w:type="dxa"/>
        <w:tblLook w:val="04A0" w:firstRow="1" w:lastRow="0" w:firstColumn="1" w:lastColumn="0" w:noHBand="0" w:noVBand="1"/>
      </w:tblPr>
      <w:tblGrid>
        <w:gridCol w:w="1106"/>
        <w:gridCol w:w="894"/>
        <w:gridCol w:w="1128"/>
        <w:gridCol w:w="1684"/>
        <w:gridCol w:w="1332"/>
        <w:gridCol w:w="960"/>
        <w:gridCol w:w="1206"/>
        <w:gridCol w:w="1194"/>
        <w:gridCol w:w="960"/>
        <w:gridCol w:w="1139"/>
      </w:tblGrid>
      <w:tr w:rsidR="009A283D" w:rsidRPr="0061265C" w:rsidTr="00F0706F">
        <w:trPr>
          <w:trHeight w:val="1020"/>
          <w:jc w:val="center"/>
        </w:trPr>
        <w:tc>
          <w:tcPr>
            <w:tcW w:w="1106" w:type="dxa"/>
            <w:vMerge w:val="restart"/>
            <w:tcBorders>
              <w:top w:val="single" w:sz="4" w:space="0" w:color="auto"/>
              <w:left w:val="single" w:sz="4" w:space="0" w:color="auto"/>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Event Date</w:t>
            </w:r>
          </w:p>
        </w:tc>
        <w:tc>
          <w:tcPr>
            <w:tcW w:w="894" w:type="dxa"/>
            <w:vMerge w:val="restart"/>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Day of Week</w:t>
            </w:r>
          </w:p>
        </w:tc>
        <w:tc>
          <w:tcPr>
            <w:tcW w:w="1128" w:type="dxa"/>
            <w:vMerge w:val="restart"/>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Accounts</w:t>
            </w:r>
          </w:p>
        </w:tc>
        <w:tc>
          <w:tcPr>
            <w:tcW w:w="1684"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Avg. Customer Reference Load</w:t>
            </w:r>
          </w:p>
        </w:tc>
        <w:tc>
          <w:tcPr>
            <w:tcW w:w="1332"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Avg. Customer Load w/ DR</w:t>
            </w:r>
          </w:p>
        </w:tc>
        <w:tc>
          <w:tcPr>
            <w:tcW w:w="960"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Impact</w:t>
            </w:r>
          </w:p>
        </w:tc>
        <w:tc>
          <w:tcPr>
            <w:tcW w:w="1206"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Aggregate Impact</w:t>
            </w:r>
          </w:p>
        </w:tc>
        <w:tc>
          <w:tcPr>
            <w:tcW w:w="1194"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 Reduction</w:t>
            </w:r>
          </w:p>
        </w:tc>
        <w:tc>
          <w:tcPr>
            <w:tcW w:w="960"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Avg. Temp.</w:t>
            </w:r>
          </w:p>
        </w:tc>
        <w:tc>
          <w:tcPr>
            <w:tcW w:w="1139" w:type="dxa"/>
            <w:tcBorders>
              <w:top w:val="single" w:sz="4" w:space="0" w:color="auto"/>
              <w:left w:val="single" w:sz="4" w:space="0" w:color="FFFFFF" w:themeColor="background1"/>
              <w:bottom w:val="single" w:sz="4" w:space="0" w:color="FFFFFF" w:themeColor="background1"/>
              <w:right w:val="single" w:sz="4" w:space="0" w:color="auto"/>
            </w:tcBorders>
            <w:shd w:val="clear" w:color="auto" w:fill="0070CD"/>
            <w:vAlign w:val="center"/>
            <w:hideMark/>
          </w:tcPr>
          <w:p w:rsidR="009A283D" w:rsidRPr="00F0706F" w:rsidRDefault="009A283D" w:rsidP="006D677D">
            <w:pPr>
              <w:spacing w:after="0" w:line="240" w:lineRule="auto"/>
              <w:jc w:val="center"/>
              <w:rPr>
                <w:rFonts w:ascii="Arial" w:eastAsia="Times New Roman" w:hAnsi="Arial" w:cs="Arial"/>
                <w:b/>
                <w:bCs/>
                <w:color w:val="FFFFFF"/>
                <w:sz w:val="20"/>
                <w:szCs w:val="20"/>
              </w:rPr>
            </w:pPr>
            <w:r w:rsidRPr="00F0706F">
              <w:rPr>
                <w:rFonts w:ascii="Arial" w:eastAsia="Times New Roman" w:hAnsi="Arial" w:cs="Arial"/>
                <w:b/>
                <w:bCs/>
                <w:color w:val="FFFFFF"/>
                <w:sz w:val="20"/>
                <w:szCs w:val="20"/>
              </w:rPr>
              <w:t>Daily Maximum Temp.</w:t>
            </w:r>
          </w:p>
        </w:tc>
      </w:tr>
      <w:tr w:rsidR="009A283D" w:rsidRPr="0061265C" w:rsidTr="00F0706F">
        <w:trPr>
          <w:trHeight w:val="300"/>
          <w:jc w:val="center"/>
        </w:trPr>
        <w:tc>
          <w:tcPr>
            <w:tcW w:w="1106" w:type="dxa"/>
            <w:vMerge/>
            <w:tcBorders>
              <w:top w:val="single" w:sz="4" w:space="0" w:color="auto"/>
              <w:left w:val="single" w:sz="4" w:space="0" w:color="auto"/>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rPr>
                <w:rFonts w:ascii="Arial" w:eastAsia="Times New Roman" w:hAnsi="Arial" w:cs="Arial"/>
                <w:b/>
                <w:bCs/>
                <w:color w:val="FFFFFF"/>
                <w:sz w:val="20"/>
                <w:szCs w:val="20"/>
              </w:rPr>
            </w:pPr>
          </w:p>
        </w:tc>
        <w:tc>
          <w:tcPr>
            <w:tcW w:w="894" w:type="dxa"/>
            <w:vMerge/>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rPr>
                <w:rFonts w:ascii="Arial" w:eastAsia="Times New Roman" w:hAnsi="Arial" w:cs="Arial"/>
                <w:b/>
                <w:bCs/>
                <w:color w:val="FFFFFF"/>
                <w:sz w:val="20"/>
                <w:szCs w:val="20"/>
              </w:rPr>
            </w:pPr>
          </w:p>
        </w:tc>
        <w:tc>
          <w:tcPr>
            <w:tcW w:w="1128" w:type="dxa"/>
            <w:vMerge/>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F0706F" w:rsidRDefault="009A283D" w:rsidP="006D677D">
            <w:pPr>
              <w:spacing w:after="0" w:line="240" w:lineRule="auto"/>
              <w:rPr>
                <w:rFonts w:ascii="Arial" w:eastAsia="Times New Roman" w:hAnsi="Arial" w:cs="Arial"/>
                <w:b/>
                <w:bCs/>
                <w:color w:val="FFFFFF"/>
                <w:sz w:val="20"/>
                <w:szCs w:val="20"/>
              </w:rPr>
            </w:pPr>
          </w:p>
        </w:tc>
        <w:tc>
          <w:tcPr>
            <w:tcW w:w="1684"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(kW)</w:t>
            </w:r>
          </w:p>
        </w:tc>
        <w:tc>
          <w:tcPr>
            <w:tcW w:w="133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(kW)</w:t>
            </w:r>
          </w:p>
        </w:tc>
        <w:tc>
          <w:tcPr>
            <w:tcW w:w="96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(kW)</w:t>
            </w:r>
          </w:p>
        </w:tc>
        <w:tc>
          <w:tcPr>
            <w:tcW w:w="120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(MW)</w:t>
            </w:r>
          </w:p>
        </w:tc>
        <w:tc>
          <w:tcPr>
            <w:tcW w:w="1194"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w:t>
            </w:r>
          </w:p>
        </w:tc>
        <w:tc>
          <w:tcPr>
            <w:tcW w:w="96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°F</w:t>
            </w:r>
          </w:p>
        </w:tc>
        <w:tc>
          <w:tcPr>
            <w:tcW w:w="1139" w:type="dxa"/>
            <w:tcBorders>
              <w:top w:val="single" w:sz="4" w:space="0" w:color="FFFFFF" w:themeColor="background1"/>
              <w:left w:val="single" w:sz="4" w:space="0" w:color="FFFFFF" w:themeColor="background1"/>
              <w:bottom w:val="single" w:sz="4" w:space="0" w:color="auto"/>
              <w:right w:val="single" w:sz="4" w:space="0" w:color="auto"/>
            </w:tcBorders>
            <w:shd w:val="clear" w:color="auto"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20"/>
                <w:szCs w:val="20"/>
              </w:rPr>
            </w:pPr>
            <w:r w:rsidRPr="00F0706F">
              <w:rPr>
                <w:rFonts w:ascii="Arial" w:eastAsia="Times New Roman" w:hAnsi="Arial" w:cs="Arial"/>
                <w:b/>
                <w:color w:val="FFFFFF"/>
                <w:sz w:val="20"/>
                <w:szCs w:val="20"/>
              </w:rPr>
              <w:t>°F</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2/7/2014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Fri</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1,141</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181.8</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169.0</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12.8</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14.6</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7.1%</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60.4</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64.0</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5/15/2014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Thu</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1,142</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242.8</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221.5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21.3</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24.3</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8.8%</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93.8</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101.5</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7/31/2014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Thu</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1,143</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252.6</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223.1</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29.5</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33.7</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11.7%</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79.9</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88.8</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9/15/2014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Mon</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1,143</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282.1</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259.0</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23.0</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26.3</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8.2%</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87.2</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97.3</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9/16/2014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Tue</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1,142</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285.8</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263.5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22.4</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25.5</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7.8%</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91.3</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101.6</w:t>
            </w:r>
          </w:p>
        </w:tc>
      </w:tr>
      <w:tr w:rsidR="009A283D" w:rsidRPr="00A15FA2" w:rsidTr="00F0706F">
        <w:trPr>
          <w:trHeight w:val="300"/>
          <w:jc w:val="center"/>
        </w:trPr>
        <w:tc>
          <w:tcPr>
            <w:tcW w:w="1106" w:type="dxa"/>
            <w:tcBorders>
              <w:top w:val="nil"/>
              <w:left w:val="single" w:sz="4" w:space="0" w:color="auto"/>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9/17/2014</w:t>
            </w:r>
          </w:p>
        </w:tc>
        <w:tc>
          <w:tcPr>
            <w:tcW w:w="8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Wed</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1,141</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281.4</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256.8</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24.6</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28.1</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8.7%</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83.7</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sz w:val="20"/>
                <w:szCs w:val="20"/>
              </w:rPr>
            </w:pPr>
            <w:r w:rsidRPr="00F0706F">
              <w:rPr>
                <w:rFonts w:ascii="Arial" w:eastAsia="Times New Roman" w:hAnsi="Arial" w:cs="Arial"/>
                <w:sz w:val="20"/>
                <w:szCs w:val="20"/>
              </w:rPr>
              <w:t>96.3</w:t>
            </w:r>
          </w:p>
        </w:tc>
      </w:tr>
      <w:tr w:rsidR="009A283D" w:rsidRPr="00A15FA2" w:rsidTr="00F0706F">
        <w:trPr>
          <w:trHeight w:val="300"/>
          <w:jc w:val="center"/>
        </w:trPr>
        <w:tc>
          <w:tcPr>
            <w:tcW w:w="20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Avg. Event</w:t>
            </w:r>
          </w:p>
        </w:tc>
        <w:tc>
          <w:tcPr>
            <w:tcW w:w="1128"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1,142</w:t>
            </w:r>
          </w:p>
        </w:tc>
        <w:tc>
          <w:tcPr>
            <w:tcW w:w="168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254.4</w:t>
            </w:r>
          </w:p>
        </w:tc>
        <w:tc>
          <w:tcPr>
            <w:tcW w:w="1332"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232.2</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22.3</w:t>
            </w:r>
          </w:p>
        </w:tc>
        <w:tc>
          <w:tcPr>
            <w:tcW w:w="1206"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25.4</w:t>
            </w:r>
          </w:p>
        </w:tc>
        <w:tc>
          <w:tcPr>
            <w:tcW w:w="1194"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8.8%</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82.7</w:t>
            </w:r>
          </w:p>
        </w:tc>
        <w:tc>
          <w:tcPr>
            <w:tcW w:w="1139" w:type="dxa"/>
            <w:tcBorders>
              <w:top w:val="nil"/>
              <w:left w:val="nil"/>
              <w:bottom w:val="single" w:sz="4" w:space="0" w:color="auto"/>
              <w:right w:val="single" w:sz="4" w:space="0" w:color="auto"/>
            </w:tcBorders>
            <w:shd w:val="clear" w:color="auto" w:fill="auto"/>
            <w:noWrap/>
            <w:vAlign w:val="bottom"/>
            <w:hideMark/>
          </w:tcPr>
          <w:p w:rsidR="009A283D" w:rsidRPr="00F0706F" w:rsidRDefault="009A283D" w:rsidP="006D677D">
            <w:pPr>
              <w:spacing w:after="0" w:line="240" w:lineRule="auto"/>
              <w:jc w:val="center"/>
              <w:rPr>
                <w:rFonts w:ascii="Arial" w:eastAsia="Times New Roman" w:hAnsi="Arial" w:cs="Arial"/>
                <w:b/>
                <w:bCs/>
                <w:sz w:val="20"/>
                <w:szCs w:val="20"/>
              </w:rPr>
            </w:pPr>
            <w:r w:rsidRPr="00F0706F">
              <w:rPr>
                <w:rFonts w:ascii="Arial" w:eastAsia="Times New Roman" w:hAnsi="Arial" w:cs="Arial"/>
                <w:b/>
                <w:bCs/>
                <w:sz w:val="20"/>
                <w:szCs w:val="20"/>
              </w:rPr>
              <w:t>96.4</w:t>
            </w:r>
          </w:p>
        </w:tc>
      </w:tr>
    </w:tbl>
    <w:p w:rsidR="009A283D" w:rsidRDefault="009A283D" w:rsidP="009A283D">
      <w:pPr>
        <w:pStyle w:val="BodyParaAfterTableFigure"/>
        <w:rPr>
          <w:szCs w:val="18"/>
        </w:rPr>
      </w:pPr>
      <w:r>
        <w:t>Figure 8-1 presents the ex post</w:t>
      </w:r>
      <w:r w:rsidRPr="00211B4A">
        <w:t xml:space="preserve"> </w:t>
      </w:r>
      <w:r>
        <w:t>load impact estimates for individual 2014</w:t>
      </w:r>
      <w:r w:rsidRPr="00211B4A">
        <w:t xml:space="preserve"> event</w:t>
      </w:r>
      <w:r>
        <w:t>s</w:t>
      </w:r>
      <w:r w:rsidRPr="00211B4A">
        <w:t xml:space="preserve"> and the average </w:t>
      </w:r>
      <w:r>
        <w:t xml:space="preserve">2014 event with </w:t>
      </w:r>
      <w:r w:rsidRPr="00211B4A">
        <w:t>90% confidence intervals around each point estimate</w:t>
      </w:r>
      <w:proofErr w:type="gramStart"/>
      <w:r w:rsidRPr="00211B4A">
        <w:t xml:space="preserve">.  </w:t>
      </w:r>
      <w:proofErr w:type="gramEnd"/>
      <w:r>
        <w:t>Although there is some variation in the estimated impacts across days, only one of the differences are statistically significant</w:t>
      </w:r>
      <w:proofErr w:type="gramStart"/>
      <w:r>
        <w:t>.</w:t>
      </w:r>
      <w:r w:rsidRPr="00211B4A">
        <w:t xml:space="preserve">  </w:t>
      </w:r>
      <w:proofErr w:type="gramEnd"/>
      <w:r w:rsidRPr="00211B4A">
        <w:t>All estimates are significantly greater than z</w:t>
      </w:r>
      <w:r>
        <w:t>ero</w:t>
      </w:r>
      <w:proofErr w:type="gramStart"/>
      <w:r>
        <w:t xml:space="preserve">.  </w:t>
      </w:r>
      <w:proofErr w:type="gramEnd"/>
      <w:r w:rsidRPr="00211B4A">
        <w:t>Thes</w:t>
      </w:r>
      <w:r>
        <w:t xml:space="preserve">e individual event day load impact estimates are less precise than the average event estimate due to </w:t>
      </w:r>
      <w:r w:rsidRPr="00211B4A">
        <w:t>event-to-event variability among customer load patt</w:t>
      </w:r>
      <w:r>
        <w:t>erns and ability to shift load.</w:t>
      </w:r>
    </w:p>
    <w:p w:rsidR="009A283D" w:rsidRDefault="009A283D" w:rsidP="009A283D">
      <w:pPr>
        <w:pStyle w:val="TableFigureCaption"/>
      </w:pPr>
      <w:r>
        <w:lastRenderedPageBreak/>
        <w:t>Figure 8</w:t>
      </w:r>
      <w:r w:rsidRPr="00F92345">
        <w:t>-1</w:t>
      </w:r>
      <w:r>
        <w:t>:</w:t>
      </w:r>
      <w:r w:rsidRPr="00F92345">
        <w:t xml:space="preserve"> </w:t>
      </w:r>
      <w:r>
        <w:t xml:space="preserve">Ex Post Load Impact Estimates </w:t>
      </w:r>
      <w:r w:rsidRPr="00F92345">
        <w:t xml:space="preserve">with </w:t>
      </w:r>
      <w:r>
        <w:t xml:space="preserve">90% </w:t>
      </w:r>
      <w:r w:rsidRPr="00F92345">
        <w:t>Confidence Intervals</w:t>
      </w:r>
      <w:r>
        <w:br/>
        <w:t>SD</w:t>
      </w:r>
      <w:r w:rsidRPr="00F92345">
        <w:t xml:space="preserve">G&amp;E </w:t>
      </w:r>
      <w:r>
        <w:t xml:space="preserve">2014 </w:t>
      </w:r>
      <w:r w:rsidRPr="00F92345">
        <w:t>CPP Events</w:t>
      </w:r>
      <w:r>
        <w:t xml:space="preserve"> (11 AM to 6 PM)</w:t>
      </w:r>
    </w:p>
    <w:p w:rsidR="009A283D" w:rsidRPr="0094082B" w:rsidRDefault="008028DC" w:rsidP="009A283D">
      <w:pPr>
        <w:pStyle w:val="Footnote"/>
        <w:jc w:val="center"/>
      </w:pPr>
      <w:r>
        <w:rPr>
          <w:noProof/>
        </w:rPr>
        <w:drawing>
          <wp:inline distT="0" distB="0" distL="0" distR="0" wp14:anchorId="5584DC9E" wp14:editId="651081B3">
            <wp:extent cx="5943600" cy="3008630"/>
            <wp:effectExtent l="0" t="0" r="0" b="127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943600" cy="3008630"/>
                    </a:xfrm>
                    <a:prstGeom prst="rect">
                      <a:avLst/>
                    </a:prstGeom>
                  </pic:spPr>
                </pic:pic>
              </a:graphicData>
            </a:graphic>
          </wp:inline>
        </w:drawing>
      </w:r>
    </w:p>
    <w:p w:rsidR="009A283D" w:rsidRPr="00637BA0" w:rsidRDefault="009A283D" w:rsidP="009A283D">
      <w:pPr>
        <w:pStyle w:val="Heading2"/>
        <w:spacing w:before="360"/>
        <w:ind w:left="547" w:hanging="547"/>
      </w:pPr>
      <w:bookmarkStart w:id="230" w:name="_Toc352323646"/>
      <w:bookmarkStart w:id="231" w:name="_Toc412650623"/>
      <w:bookmarkStart w:id="232" w:name="_Toc415494803"/>
      <w:r w:rsidRPr="003850B4">
        <w:t>Average</w:t>
      </w:r>
      <w:r>
        <w:t xml:space="preserve"> Event Day Impacts</w:t>
      </w:r>
      <w:bookmarkEnd w:id="229"/>
      <w:bookmarkEnd w:id="230"/>
      <w:bookmarkEnd w:id="231"/>
      <w:bookmarkEnd w:id="232"/>
    </w:p>
    <w:p w:rsidR="009A283D" w:rsidRDefault="009A283D" w:rsidP="009A283D">
      <w:pPr>
        <w:pStyle w:val="BodyParagraph"/>
      </w:pPr>
      <w:r>
        <w:t>Figure 8-2 shows the hourly impacts for the average event for all customers across all hours of the day</w:t>
      </w:r>
      <w:proofErr w:type="gramStart"/>
      <w:r>
        <w:t xml:space="preserve">.  </w:t>
      </w:r>
      <w:proofErr w:type="gramEnd"/>
      <w:r>
        <w:t>The CPP event period for SDG&amp;E runs from 11 AM to 6 PM, which is substantially longer than the 2 to 6 PM event periods at SCE and PG&amp;E.</w:t>
      </w:r>
    </w:p>
    <w:p w:rsidR="009A283D" w:rsidRDefault="009A283D" w:rsidP="009A283D">
      <w:pPr>
        <w:pStyle w:val="BodyParagraph"/>
      </w:pPr>
      <w:r>
        <w:t xml:space="preserve">Percent reductions in each hour of SDGE’s average 2014 weekday event varied from a high of 9.5% </w:t>
      </w:r>
      <w:r w:rsidR="00E65224">
        <w:t>from 4 to 5 PM</w:t>
      </w:r>
      <w:r>
        <w:t xml:space="preserve"> to a low of 8.0% </w:t>
      </w:r>
      <w:r w:rsidR="00E65224">
        <w:t>from 2 to 3 PM</w:t>
      </w:r>
      <w:r w:rsidR="00B304ED">
        <w:t xml:space="preserve">, </w:t>
      </w:r>
      <w:r>
        <w:t>but these differences may not be statistically significant</w:t>
      </w:r>
      <w:proofErr w:type="gramStart"/>
      <w:r>
        <w:t xml:space="preserve">.  </w:t>
      </w:r>
      <w:proofErr w:type="gramEnd"/>
      <w:r>
        <w:t>The highest aggregate impact, 26.6 MW, occurred in the penultimate hour</w:t>
      </w:r>
      <w:r w:rsidR="008C0148">
        <w:t>;</w:t>
      </w:r>
      <w:r>
        <w:t xml:space="preserve"> and the lowest impact, 23.4 MW, occurred in the fourth hour.</w:t>
      </w:r>
    </w:p>
    <w:p w:rsidR="009A283D" w:rsidRDefault="009A283D" w:rsidP="009A283D">
      <w:pPr>
        <w:pStyle w:val="BodyParagraph"/>
        <w:sectPr w:rsidR="009A283D" w:rsidSect="003B398F">
          <w:headerReference w:type="default" r:id="rId83"/>
          <w:pgSz w:w="12240" w:h="15840"/>
          <w:pgMar w:top="1440" w:right="1440" w:bottom="1440" w:left="1440" w:header="720" w:footer="720" w:gutter="0"/>
          <w:cols w:space="720"/>
          <w:docGrid w:linePitch="360"/>
        </w:sectPr>
      </w:pPr>
      <w:r>
        <w:t>The hourly load impacts for the average 2014 event day are slightly weaker in the earliest hours of the event than in the later hours</w:t>
      </w:r>
      <w:proofErr w:type="gramStart"/>
      <w:r>
        <w:t xml:space="preserve">.  </w:t>
      </w:r>
      <w:proofErr w:type="gramEnd"/>
      <w:r>
        <w:t>This is in contrast with 2013’s impacts, which were stronger in the earliest hours of the event and weakest at the end of the event</w:t>
      </w:r>
      <w:proofErr w:type="gramStart"/>
      <w:r>
        <w:t xml:space="preserve">.  </w:t>
      </w:r>
      <w:proofErr w:type="gramEnd"/>
      <w:r>
        <w:t>The overall magnitude of the hourly load impact across the four days is higher in 2014 (8.8%) compared with  2013 (6.9%)</w:t>
      </w:r>
      <w:proofErr w:type="gramStart"/>
      <w:r>
        <w:t xml:space="preserve">.  </w:t>
      </w:r>
      <w:proofErr w:type="gramEnd"/>
      <w:r>
        <w:t>We address this difference in the next section, which compares impacts across industry segments.</w:t>
      </w:r>
    </w:p>
    <w:p w:rsidR="009A283D" w:rsidRPr="00774FE7" w:rsidRDefault="009A283D" w:rsidP="009A283D">
      <w:pPr>
        <w:pStyle w:val="TableFigureCaption"/>
        <w:contextualSpacing/>
      </w:pPr>
      <w:r>
        <w:lastRenderedPageBreak/>
        <w:t>Figure 8</w:t>
      </w:r>
      <w:r w:rsidRPr="00D963CC">
        <w:t xml:space="preserve">-2: </w:t>
      </w:r>
      <w:r>
        <w:t>Average Impact per Customer for the Average Event Day in 2014</w:t>
      </w:r>
      <w:r>
        <w:br/>
        <w:t xml:space="preserve">Default CPP </w:t>
      </w:r>
      <w:proofErr w:type="gramStart"/>
      <w:r>
        <w:t>Ex</w:t>
      </w:r>
      <w:proofErr w:type="gramEnd"/>
      <w:r>
        <w:t xml:space="preserve"> Post Load Impacts</w:t>
      </w:r>
    </w:p>
    <w:p w:rsidR="009A283D" w:rsidRDefault="009A283D" w:rsidP="009A283D">
      <w:pPr>
        <w:pStyle w:val="Footnote"/>
        <w:jc w:val="center"/>
      </w:pPr>
      <w:r>
        <w:rPr>
          <w:noProof/>
        </w:rPr>
        <w:drawing>
          <wp:inline distT="0" distB="0" distL="0" distR="0" wp14:anchorId="00405CDF" wp14:editId="40378D2F">
            <wp:extent cx="7811419" cy="377635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7810185" cy="3775757"/>
                    </a:xfrm>
                    <a:prstGeom prst="rect">
                      <a:avLst/>
                    </a:prstGeom>
                  </pic:spPr>
                </pic:pic>
              </a:graphicData>
            </a:graphic>
          </wp:inline>
        </w:drawing>
      </w:r>
    </w:p>
    <w:p w:rsidR="009A283D" w:rsidRDefault="009A283D" w:rsidP="009A283D">
      <w:pPr>
        <w:rPr>
          <w:rFonts w:ascii="Arial" w:eastAsia="Times New Roman" w:hAnsi="Arial" w:cs="Arial"/>
          <w:b/>
          <w:bCs/>
          <w:color w:val="000000"/>
          <w:sz w:val="20"/>
          <w:szCs w:val="20"/>
        </w:rPr>
      </w:pPr>
      <w:r>
        <w:rPr>
          <w:rFonts w:ascii="Arial" w:eastAsia="Times New Roman" w:hAnsi="Arial" w:cs="Arial"/>
          <w:b/>
          <w:bCs/>
          <w:color w:val="000000"/>
          <w:sz w:val="20"/>
          <w:szCs w:val="20"/>
        </w:rPr>
        <w:br w:type="page"/>
      </w:r>
    </w:p>
    <w:p w:rsidR="009A283D" w:rsidRDefault="009A283D" w:rsidP="009A283D">
      <w:pPr>
        <w:sectPr w:rsidR="009A283D" w:rsidSect="003B398F">
          <w:headerReference w:type="default" r:id="rId85"/>
          <w:footerReference w:type="default" r:id="rId86"/>
          <w:pgSz w:w="15840" w:h="12240" w:orient="landscape"/>
          <w:pgMar w:top="1440" w:right="1440" w:bottom="1440" w:left="1440" w:header="720" w:footer="720" w:gutter="0"/>
          <w:cols w:space="720"/>
          <w:docGrid w:linePitch="360"/>
        </w:sectPr>
      </w:pPr>
    </w:p>
    <w:p w:rsidR="009A283D" w:rsidRDefault="009A283D" w:rsidP="009A283D">
      <w:pPr>
        <w:pStyle w:val="Heading2"/>
      </w:pPr>
      <w:bookmarkStart w:id="233" w:name="_Toc326072123"/>
      <w:bookmarkStart w:id="234" w:name="_Toc352323647"/>
      <w:bookmarkStart w:id="235" w:name="_Toc412650624"/>
      <w:bookmarkStart w:id="236" w:name="_Toc415494804"/>
      <w:r>
        <w:lastRenderedPageBreak/>
        <w:t xml:space="preserve">Load </w:t>
      </w:r>
      <w:r w:rsidRPr="00833444">
        <w:t>Impacts</w:t>
      </w:r>
      <w:r>
        <w:t xml:space="preserve"> by Industry</w:t>
      </w:r>
      <w:bookmarkEnd w:id="233"/>
      <w:bookmarkEnd w:id="234"/>
      <w:bookmarkEnd w:id="235"/>
      <w:bookmarkEnd w:id="236"/>
    </w:p>
    <w:p w:rsidR="009A283D" w:rsidRDefault="009A283D" w:rsidP="009A283D">
      <w:pPr>
        <w:pStyle w:val="BodyParagraph"/>
      </w:pPr>
      <w:r>
        <w:t>Table 8-2 compares the reference load, load impact and the number of accounts, in percentage terms, across industry segments</w:t>
      </w:r>
      <w:proofErr w:type="gramStart"/>
      <w:r>
        <w:t xml:space="preserve">.  </w:t>
      </w:r>
      <w:proofErr w:type="gramEnd"/>
      <w:r>
        <w:t>It also shows the share of demand reduced by the average customer within each industry and whether or not the demand reduction was statistically significant with 90% confidence</w:t>
      </w:r>
      <w:proofErr w:type="gramStart"/>
      <w:r>
        <w:t xml:space="preserve">.  </w:t>
      </w:r>
      <w:proofErr w:type="gramEnd"/>
      <w:r>
        <w:t xml:space="preserve">The industries are presented in rank order based on the aggregate demand reduction. </w:t>
      </w:r>
    </w:p>
    <w:p w:rsidR="009A283D" w:rsidRDefault="009A283D" w:rsidP="009A283D">
      <w:pPr>
        <w:pStyle w:val="BodyParagraph"/>
        <w:sectPr w:rsidR="009A283D" w:rsidSect="003B398F">
          <w:headerReference w:type="default" r:id="rId87"/>
          <w:footerReference w:type="default" r:id="rId88"/>
          <w:pgSz w:w="12240" w:h="15840"/>
          <w:pgMar w:top="1440" w:right="1440" w:bottom="1440" w:left="1440" w:header="720" w:footer="720" w:gutter="0"/>
          <w:cols w:space="720"/>
          <w:docGrid w:linePitch="360"/>
        </w:sectPr>
      </w:pPr>
      <w:r>
        <w:t>The distribution of CPP impacts across industry segments at SDG&amp;E is not as highly concentrated as it is for PG&amp;E and SCE</w:t>
      </w:r>
      <w:proofErr w:type="gramStart"/>
      <w:r>
        <w:t xml:space="preserve">.  </w:t>
      </w:r>
      <w:proofErr w:type="gramEnd"/>
      <w:r>
        <w:t>Nearly all of the load reduction, 78.4%, was provided by three sectors with relatively equal shares of the load impact: Institutional/Government, Wholesale, Transport &amp; Other Utilities and Manufacturing</w:t>
      </w:r>
      <w:proofErr w:type="gramStart"/>
      <w:r>
        <w:t xml:space="preserve">.  </w:t>
      </w:r>
      <w:proofErr w:type="gramEnd"/>
      <w:r>
        <w:t>Schools comprise much of the enrollment in the program, but showed highly variable and no significant load impacts.</w:t>
      </w:r>
    </w:p>
    <w:p w:rsidR="009A283D" w:rsidRDefault="009A283D" w:rsidP="009A283D">
      <w:pPr>
        <w:pStyle w:val="TableFigureCaption"/>
      </w:pPr>
      <w:r>
        <w:lastRenderedPageBreak/>
        <w:t>Table 8-2</w:t>
      </w:r>
      <w:r w:rsidRPr="00993363">
        <w:t xml:space="preserve">: </w:t>
      </w:r>
      <w:r>
        <w:t xml:space="preserve">Default CPP </w:t>
      </w:r>
      <w:r w:rsidRPr="00D963CC">
        <w:t xml:space="preserve">Ex Post Load </w:t>
      </w:r>
      <w:r>
        <w:t>Impact Estimates by Industry</w:t>
      </w:r>
      <w:r w:rsidRPr="00993363">
        <w:br/>
      </w:r>
      <w:r>
        <w:t>Average 2014</w:t>
      </w:r>
      <w:r w:rsidRPr="00774FE7">
        <w:t xml:space="preserve"> </w:t>
      </w:r>
      <w:r>
        <w:t>SDG&amp;</w:t>
      </w:r>
      <w:r w:rsidRPr="00774FE7">
        <w:t>E CPP Event</w:t>
      </w:r>
      <w:r>
        <w:t xml:space="preserve"> (11 AM to 6 PM)</w:t>
      </w:r>
    </w:p>
    <w:tbl>
      <w:tblPr>
        <w:tblW w:w="10100" w:type="dxa"/>
        <w:jc w:val="center"/>
        <w:tblInd w:w="93" w:type="dxa"/>
        <w:tblLook w:val="04A0" w:firstRow="1" w:lastRow="0" w:firstColumn="1" w:lastColumn="0" w:noHBand="0" w:noVBand="1"/>
      </w:tblPr>
      <w:tblGrid>
        <w:gridCol w:w="3320"/>
        <w:gridCol w:w="1261"/>
        <w:gridCol w:w="1039"/>
        <w:gridCol w:w="717"/>
        <w:gridCol w:w="1039"/>
        <w:gridCol w:w="572"/>
        <w:gridCol w:w="1039"/>
        <w:gridCol w:w="1006"/>
        <w:gridCol w:w="1194"/>
        <w:gridCol w:w="760"/>
      </w:tblGrid>
      <w:tr w:rsidR="009A283D" w:rsidRPr="0061265C" w:rsidTr="006D677D">
        <w:trPr>
          <w:trHeight w:val="495"/>
          <w:jc w:val="center"/>
        </w:trPr>
        <w:tc>
          <w:tcPr>
            <w:tcW w:w="332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Industry</w:t>
            </w:r>
          </w:p>
        </w:tc>
        <w:tc>
          <w:tcPr>
            <w:tcW w:w="178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Accounts</w:t>
            </w:r>
          </w:p>
        </w:tc>
        <w:tc>
          <w:tcPr>
            <w:tcW w:w="136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Aggregate Reference Load</w:t>
            </w:r>
          </w:p>
        </w:tc>
        <w:tc>
          <w:tcPr>
            <w:tcW w:w="136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Aggregate Impact</w:t>
            </w:r>
          </w:p>
        </w:tc>
        <w:tc>
          <w:tcPr>
            <w:tcW w:w="700" w:type="dxa"/>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Average Impact</w:t>
            </w:r>
          </w:p>
        </w:tc>
        <w:tc>
          <w:tcPr>
            <w:tcW w:w="82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 Reduction</w:t>
            </w:r>
          </w:p>
        </w:tc>
        <w:tc>
          <w:tcPr>
            <w:tcW w:w="76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Stat. Sig?</w:t>
            </w:r>
          </w:p>
        </w:tc>
      </w:tr>
      <w:tr w:rsidR="009A283D" w:rsidRPr="0061265C" w:rsidTr="006D677D">
        <w:trPr>
          <w:trHeight w:val="510"/>
          <w:jc w:val="center"/>
        </w:trPr>
        <w:tc>
          <w:tcPr>
            <w:tcW w:w="332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20"/>
                <w:szCs w:val="20"/>
              </w:rPr>
            </w:pPr>
          </w:p>
        </w:tc>
        <w:tc>
          <w:tcPr>
            <w:tcW w:w="1000"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Enrollment</w:t>
            </w:r>
          </w:p>
        </w:tc>
        <w:tc>
          <w:tcPr>
            <w:tcW w:w="780"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 of Program</w:t>
            </w:r>
          </w:p>
        </w:tc>
        <w:tc>
          <w:tcPr>
            <w:tcW w:w="491" w:type="dxa"/>
            <w:tcBorders>
              <w:top w:val="nil"/>
              <w:left w:val="nil"/>
              <w:bottom w:val="single" w:sz="4" w:space="0" w:color="auto"/>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color w:val="FFFFFF"/>
                <w:sz w:val="20"/>
                <w:szCs w:val="20"/>
              </w:rPr>
            </w:pPr>
            <w:r w:rsidRPr="0061265C">
              <w:rPr>
                <w:rFonts w:ascii="Arial" w:eastAsia="Times New Roman" w:hAnsi="Arial" w:cs="Arial"/>
                <w:b/>
                <w:color w:val="FFFFFF"/>
                <w:sz w:val="20"/>
                <w:szCs w:val="20"/>
              </w:rPr>
              <w:t>MW</w:t>
            </w:r>
          </w:p>
        </w:tc>
        <w:tc>
          <w:tcPr>
            <w:tcW w:w="869"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 of Program</w:t>
            </w:r>
          </w:p>
        </w:tc>
        <w:tc>
          <w:tcPr>
            <w:tcW w:w="417" w:type="dxa"/>
            <w:tcBorders>
              <w:top w:val="nil"/>
              <w:left w:val="nil"/>
              <w:bottom w:val="single" w:sz="4" w:space="0" w:color="auto"/>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color w:val="FFFFFF"/>
                <w:sz w:val="20"/>
                <w:szCs w:val="20"/>
              </w:rPr>
            </w:pPr>
            <w:r w:rsidRPr="0061265C">
              <w:rPr>
                <w:rFonts w:ascii="Arial" w:eastAsia="Times New Roman" w:hAnsi="Arial" w:cs="Arial"/>
                <w:b/>
                <w:color w:val="FFFFFF"/>
                <w:sz w:val="20"/>
                <w:szCs w:val="20"/>
              </w:rPr>
              <w:t>MW</w:t>
            </w:r>
          </w:p>
        </w:tc>
        <w:tc>
          <w:tcPr>
            <w:tcW w:w="943"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20"/>
                <w:szCs w:val="20"/>
              </w:rPr>
            </w:pPr>
            <w:r w:rsidRPr="0061265C">
              <w:rPr>
                <w:rFonts w:ascii="Arial" w:eastAsia="Times New Roman" w:hAnsi="Arial" w:cs="Arial"/>
                <w:b/>
                <w:bCs/>
                <w:color w:val="FFFFFF"/>
                <w:sz w:val="20"/>
                <w:szCs w:val="20"/>
              </w:rPr>
              <w:t>% of Program</w:t>
            </w:r>
          </w:p>
        </w:tc>
        <w:tc>
          <w:tcPr>
            <w:tcW w:w="700"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color w:val="FFFFFF"/>
                <w:sz w:val="20"/>
                <w:szCs w:val="20"/>
              </w:rPr>
            </w:pPr>
            <w:r w:rsidRPr="0061265C">
              <w:rPr>
                <w:rFonts w:ascii="Arial" w:eastAsia="Times New Roman" w:hAnsi="Arial" w:cs="Arial"/>
                <w:b/>
                <w:color w:val="FFFFFF"/>
                <w:sz w:val="20"/>
                <w:szCs w:val="20"/>
              </w:rPr>
              <w:t>kW</w:t>
            </w:r>
          </w:p>
        </w:tc>
        <w:tc>
          <w:tcPr>
            <w:tcW w:w="82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20"/>
                <w:szCs w:val="20"/>
              </w:rPr>
            </w:pPr>
          </w:p>
        </w:tc>
        <w:tc>
          <w:tcPr>
            <w:tcW w:w="76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20"/>
                <w:szCs w:val="20"/>
              </w:rPr>
            </w:pP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Institutional/Government</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130</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11.4%</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30.0</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10.3%</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7.3</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28.8%</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56.2</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24.4%</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Wholesale, Transport &amp; Other Utilities</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157</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13.8%</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27.5</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9.5%</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6.8</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26.9%</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43.4</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24.8%</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Manufacturing</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137</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12.0%</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40.8</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14.0%</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5.8</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22.7%</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42.1</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14.1%</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Offices, Hotels, Finance, Services</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363</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31.8%</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131.9</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45.4%</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3.8</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14.8%</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10.3</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2.8%</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Agriculture, Mining &amp; Construction</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15</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1.3%</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3.5</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1.2%</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1.2</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4.7%</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79.9</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34.6%</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Retail Stores</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117</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10.3%</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28.1</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9.7%</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0.9</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3.6%</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7.9</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3.3%</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Yes</w:t>
            </w:r>
          </w:p>
        </w:tc>
      </w:tr>
      <w:tr w:rsidR="009A283D" w:rsidRPr="00AB03DB" w:rsidTr="006D677D">
        <w:trPr>
          <w:trHeight w:val="300"/>
          <w:jc w:val="center"/>
        </w:trPr>
        <w:tc>
          <w:tcPr>
            <w:tcW w:w="3320" w:type="dxa"/>
            <w:tcBorders>
              <w:top w:val="nil"/>
              <w:left w:val="single" w:sz="4" w:space="0" w:color="auto"/>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Schools</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222</w:t>
            </w:r>
          </w:p>
        </w:tc>
        <w:tc>
          <w:tcPr>
            <w:tcW w:w="7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19.5%</w:t>
            </w:r>
          </w:p>
        </w:tc>
        <w:tc>
          <w:tcPr>
            <w:tcW w:w="49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28.5</w:t>
            </w:r>
          </w:p>
        </w:tc>
        <w:tc>
          <w:tcPr>
            <w:tcW w:w="86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9.8%</w:t>
            </w:r>
          </w:p>
        </w:tc>
        <w:tc>
          <w:tcPr>
            <w:tcW w:w="41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-0.4</w:t>
            </w:r>
          </w:p>
        </w:tc>
        <w:tc>
          <w:tcPr>
            <w:tcW w:w="94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-1.6%</w:t>
            </w:r>
          </w:p>
        </w:tc>
        <w:tc>
          <w:tcPr>
            <w:tcW w:w="7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-1.8</w:t>
            </w:r>
          </w:p>
        </w:tc>
        <w:tc>
          <w:tcPr>
            <w:tcW w:w="82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-1.4%</w:t>
            </w:r>
          </w:p>
        </w:tc>
        <w:tc>
          <w:tcPr>
            <w:tcW w:w="7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20"/>
                <w:szCs w:val="20"/>
              </w:rPr>
            </w:pPr>
            <w:r w:rsidRPr="0061265C">
              <w:rPr>
                <w:rFonts w:ascii="Arial" w:eastAsia="Times New Roman" w:hAnsi="Arial" w:cs="Arial"/>
                <w:sz w:val="20"/>
                <w:szCs w:val="20"/>
              </w:rPr>
              <w:t>No</w:t>
            </w:r>
          </w:p>
        </w:tc>
      </w:tr>
    </w:tbl>
    <w:p w:rsidR="009A283D" w:rsidRDefault="009A283D" w:rsidP="009A283D">
      <w:pPr>
        <w:pStyle w:val="BodyParaAfterTableFigure"/>
        <w:sectPr w:rsidR="009A283D" w:rsidSect="003B398F">
          <w:footerReference w:type="default" r:id="rId89"/>
          <w:pgSz w:w="15840" w:h="12240" w:orient="landscape"/>
          <w:pgMar w:top="1440" w:right="1440" w:bottom="1440" w:left="1440" w:header="720" w:footer="720" w:gutter="0"/>
          <w:cols w:space="720"/>
          <w:docGrid w:linePitch="360"/>
        </w:sectPr>
      </w:pPr>
    </w:p>
    <w:p w:rsidR="009A283D" w:rsidRDefault="009A283D" w:rsidP="009A283D">
      <w:pPr>
        <w:pStyle w:val="BodyParaAfterTableFigure"/>
      </w:pPr>
      <w:r>
        <w:lastRenderedPageBreak/>
        <w:t>The largest share of the aggregate reference load is concentrated in the Offices, Hotels, Finances &amp; Services sector</w:t>
      </w:r>
      <w:proofErr w:type="gramStart"/>
      <w:r>
        <w:t xml:space="preserve">.  </w:t>
      </w:r>
      <w:proofErr w:type="gramEnd"/>
      <w:r>
        <w:t>These customers are typically at office building premises</w:t>
      </w:r>
      <w:proofErr w:type="gramStart"/>
      <w:r>
        <w:t xml:space="preserve">.  </w:t>
      </w:r>
      <w:proofErr w:type="gramEnd"/>
      <w:r>
        <w:t>They accounted for 45% of the estimated reference load (131.9 MW) and produced 14.8% of the load reduction (3.8 MW)</w:t>
      </w:r>
      <w:proofErr w:type="gramStart"/>
      <w:r>
        <w:t xml:space="preserve">.  </w:t>
      </w:r>
      <w:proofErr w:type="gramEnd"/>
      <w:r>
        <w:t>However, this sector also had the most participants and, on average, offices only reduced load by 2.8%</w:t>
      </w:r>
      <w:proofErr w:type="gramStart"/>
      <w:r>
        <w:t xml:space="preserve">.  </w:t>
      </w:r>
      <w:proofErr w:type="gramEnd"/>
      <w:r>
        <w:t>In contrast, the Wholesale, Transport &amp; Other Utilities and Institutional/Government sectors together accounted for 19.8% of the reference load (57.5MW) but produced 55.7% of the impacts (14.1 MW)</w:t>
      </w:r>
      <w:proofErr w:type="gramStart"/>
      <w:r>
        <w:t xml:space="preserve">.  </w:t>
      </w:r>
      <w:proofErr w:type="gramEnd"/>
      <w:r>
        <w:t>Figure 8-3 presents the same information visually, but better illustrates the concentration of load impact in specific industries</w:t>
      </w:r>
      <w:r w:rsidR="00BD2E63">
        <w:rPr>
          <w:rFonts w:cs="Arial"/>
        </w:rPr>
        <w:t>—</w:t>
      </w:r>
      <w:r>
        <w:t>that much of the CPP load impacts SDG&amp;E are coming from a relatively small amount of enrolled reference load.</w:t>
      </w:r>
    </w:p>
    <w:p w:rsidR="009A283D" w:rsidRDefault="009A283D" w:rsidP="009A283D">
      <w:pPr>
        <w:pStyle w:val="TableFigureCaption"/>
      </w:pPr>
      <w:r>
        <w:t>Figure 8-3</w:t>
      </w:r>
      <w:r w:rsidRPr="00D963CC">
        <w:t xml:space="preserve">: </w:t>
      </w:r>
      <w:r>
        <w:t xml:space="preserve">Default CPP </w:t>
      </w:r>
      <w:r w:rsidRPr="00D963CC">
        <w:t xml:space="preserve">Enrollment, </w:t>
      </w:r>
      <w:r>
        <w:t xml:space="preserve">Load, </w:t>
      </w:r>
      <w:r w:rsidRPr="00D963CC">
        <w:t>Impact and</w:t>
      </w:r>
      <w:r>
        <w:t xml:space="preserve"> Percent </w:t>
      </w:r>
      <w:r>
        <w:br/>
        <w:t>Demand</w:t>
      </w:r>
      <w:r w:rsidRPr="00D963CC">
        <w:t xml:space="preserve"> Reduction by Industry</w:t>
      </w:r>
      <w:r w:rsidRPr="00D963CC">
        <w:br/>
        <w:t>Average 201</w:t>
      </w:r>
      <w:r>
        <w:t>4</w:t>
      </w:r>
      <w:r w:rsidRPr="00D963CC">
        <w:t xml:space="preserve"> </w:t>
      </w:r>
      <w:r>
        <w:t>SD</w:t>
      </w:r>
      <w:r w:rsidRPr="00D963CC">
        <w:t>G&amp;E CPP Event</w:t>
      </w:r>
      <w:r>
        <w:t xml:space="preserve"> (11 AM to 6 PM)</w:t>
      </w:r>
    </w:p>
    <w:p w:rsidR="009A283D" w:rsidRDefault="00BD7225" w:rsidP="009A283D">
      <w:pPr>
        <w:pStyle w:val="Footnote"/>
        <w:jc w:val="center"/>
      </w:pPr>
      <w:bookmarkStart w:id="237" w:name="_Toc326072124"/>
      <w:bookmarkStart w:id="238" w:name="_Toc352323648"/>
      <w:r>
        <w:rPr>
          <w:noProof/>
        </w:rPr>
        <w:drawing>
          <wp:inline distT="0" distB="0" distL="0" distR="0" wp14:anchorId="0A28D486">
            <wp:extent cx="5943600" cy="3798790"/>
            <wp:effectExtent l="0" t="0" r="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943600" cy="3798790"/>
                    </a:xfrm>
                    <a:prstGeom prst="rect">
                      <a:avLst/>
                    </a:prstGeom>
                    <a:noFill/>
                  </pic:spPr>
                </pic:pic>
              </a:graphicData>
            </a:graphic>
          </wp:inline>
        </w:drawing>
      </w:r>
    </w:p>
    <w:p w:rsidR="00BD7225" w:rsidRDefault="00BD7225" w:rsidP="00BD7225">
      <w:pPr>
        <w:pStyle w:val="BodyBeforeBullet"/>
      </w:pPr>
      <w:bookmarkStart w:id="239" w:name="_Toc412650625"/>
    </w:p>
    <w:p w:rsidR="009A283D" w:rsidRDefault="009A283D" w:rsidP="009A283D">
      <w:pPr>
        <w:pStyle w:val="Heading2"/>
      </w:pPr>
      <w:bookmarkStart w:id="240" w:name="_Toc415494805"/>
      <w:r>
        <w:t xml:space="preserve">Load Impacts by Customer </w:t>
      </w:r>
      <w:r w:rsidRPr="00E059C3">
        <w:t>Size</w:t>
      </w:r>
      <w:bookmarkEnd w:id="237"/>
      <w:bookmarkEnd w:id="238"/>
      <w:bookmarkEnd w:id="239"/>
      <w:bookmarkEnd w:id="240"/>
    </w:p>
    <w:p w:rsidR="009A283D" w:rsidRDefault="009A283D" w:rsidP="009A283D">
      <w:pPr>
        <w:pStyle w:val="BodyParagraph"/>
      </w:pPr>
      <w:r>
        <w:t>Table 8-3 shows the estimated ex post load impact by customer size, using two different size categorization methods</w:t>
      </w:r>
      <w:proofErr w:type="gramStart"/>
      <w:r>
        <w:t xml:space="preserve">.  </w:t>
      </w:r>
      <w:proofErr w:type="gramEnd"/>
      <w:r>
        <w:t>First, load impacts are reported for the two demand categories: greater than 200 kW, less than 200 kW and greater than 20 kW, and less than 20 kW</w:t>
      </w:r>
      <w:proofErr w:type="gramStart"/>
      <w:r>
        <w:t xml:space="preserve">.  </w:t>
      </w:r>
      <w:proofErr w:type="gramEnd"/>
      <w:r>
        <w:t xml:space="preserve">The </w:t>
      </w:r>
      <w:r w:rsidR="00B770C4">
        <w:t>O</w:t>
      </w:r>
      <w:r>
        <w:t>ther size categorization is by usage quintile; all CPP customers were assigned to a usage quintile based on annual consumption</w:t>
      </w:r>
      <w:proofErr w:type="gramStart"/>
      <w:r>
        <w:t xml:space="preserve">.  </w:t>
      </w:r>
      <w:proofErr w:type="gramEnd"/>
      <w:r>
        <w:t xml:space="preserve">This metric of customer size is more useful than the demand response size categories because it provides estimates for a broad spectrum of customer sizes, where the segments all have sample sizes large enough to support reasonable </w:t>
      </w:r>
      <w:r>
        <w:lastRenderedPageBreak/>
        <w:t>estimates, which detracts from the value of using the demand response size categories</w:t>
      </w:r>
      <w:proofErr w:type="gramStart"/>
      <w:r>
        <w:t xml:space="preserve">.  </w:t>
      </w:r>
      <w:proofErr w:type="gramEnd"/>
      <w:r>
        <w:t>In fact, the load impact for the &lt; 20 kW size category is insignificant, owing principally to the fact that there are only 60 customers in that category</w:t>
      </w:r>
      <w:proofErr w:type="gramStart"/>
      <w:r>
        <w:t xml:space="preserve">.  </w:t>
      </w:r>
      <w:proofErr w:type="gramEnd"/>
      <w:r>
        <w:t>Table 8-3 shows that customers in the smallest and the largest usage quintiles have the largest percentage load impacts, while customers in the 3th quintile has the lowest percentage load impacts.</w:t>
      </w:r>
    </w:p>
    <w:p w:rsidR="009A283D" w:rsidRDefault="009A283D" w:rsidP="009A283D">
      <w:pPr>
        <w:pStyle w:val="TableFigureCaption"/>
        <w:rPr>
          <w:rFonts w:eastAsia="Times New Roman" w:cs="Arial"/>
          <w:bCs/>
          <w:color w:val="000000"/>
        </w:rPr>
      </w:pPr>
      <w:r>
        <w:t>Table 8-3</w:t>
      </w:r>
      <w:r w:rsidRPr="004A318B">
        <w:t xml:space="preserve">: </w:t>
      </w:r>
      <w:r>
        <w:t xml:space="preserve">Default CPP </w:t>
      </w:r>
      <w:r w:rsidRPr="00D963CC">
        <w:t xml:space="preserve">Ex Post Load </w:t>
      </w:r>
      <w:r>
        <w:t>Impact Estimates by Customer Size</w:t>
      </w:r>
      <w:r w:rsidRPr="004A318B">
        <w:br/>
      </w:r>
      <w:r>
        <w:rPr>
          <w:rFonts w:eastAsia="Times New Roman" w:cs="Arial"/>
          <w:bCs/>
          <w:color w:val="000000"/>
        </w:rPr>
        <w:t xml:space="preserve">Average 2014 </w:t>
      </w:r>
      <w:r w:rsidRPr="004A318B">
        <w:rPr>
          <w:rFonts w:eastAsia="Times New Roman" w:cs="Arial"/>
          <w:bCs/>
          <w:color w:val="000000"/>
        </w:rPr>
        <w:t>SDG&amp;E CPP Event</w:t>
      </w:r>
      <w:r>
        <w:rPr>
          <w:rFonts w:eastAsia="Times New Roman" w:cs="Arial"/>
          <w:bCs/>
          <w:color w:val="000000"/>
        </w:rPr>
        <w:t xml:space="preserve"> </w:t>
      </w:r>
      <w:r>
        <w:t xml:space="preserve">(11 AM </w:t>
      </w:r>
      <w:r w:rsidR="00B770C4">
        <w:t>to</w:t>
      </w:r>
      <w:r>
        <w:t xml:space="preserve"> 6 PM)</w:t>
      </w:r>
    </w:p>
    <w:tbl>
      <w:tblPr>
        <w:tblW w:w="0" w:type="auto"/>
        <w:jc w:val="center"/>
        <w:tblInd w:w="-1053" w:type="dxa"/>
        <w:tblLook w:val="04A0" w:firstRow="1" w:lastRow="0" w:firstColumn="1" w:lastColumn="0" w:noHBand="0" w:noVBand="1"/>
      </w:tblPr>
      <w:tblGrid>
        <w:gridCol w:w="1328"/>
        <w:gridCol w:w="1208"/>
        <w:gridCol w:w="1025"/>
        <w:gridCol w:w="1403"/>
        <w:gridCol w:w="1155"/>
        <w:gridCol w:w="732"/>
        <w:gridCol w:w="1008"/>
        <w:gridCol w:w="999"/>
        <w:gridCol w:w="661"/>
        <w:gridCol w:w="788"/>
      </w:tblGrid>
      <w:tr w:rsidR="008A2BA6" w:rsidRPr="0061265C" w:rsidTr="00B304ED">
        <w:trPr>
          <w:trHeight w:val="593"/>
          <w:jc w:val="center"/>
        </w:trPr>
        <w:tc>
          <w:tcPr>
            <w:tcW w:w="1239" w:type="dxa"/>
            <w:vMerge w:val="restart"/>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bookmarkStart w:id="241" w:name="_Toc352323649"/>
            <w:r w:rsidRPr="0061265C">
              <w:rPr>
                <w:rFonts w:ascii="Arial" w:eastAsia="Times New Roman" w:hAnsi="Arial" w:cs="Arial"/>
                <w:b/>
                <w:bCs/>
                <w:color w:val="FFFFFF"/>
                <w:sz w:val="16"/>
                <w:szCs w:val="16"/>
              </w:rPr>
              <w:t>Categorization</w:t>
            </w:r>
          </w:p>
        </w:tc>
        <w:tc>
          <w:tcPr>
            <w:tcW w:w="1208"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Size Category</w:t>
            </w:r>
          </w:p>
        </w:tc>
        <w:tc>
          <w:tcPr>
            <w:tcW w:w="1025" w:type="dxa"/>
            <w:vMerge w:val="restart"/>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Accounts</w:t>
            </w:r>
          </w:p>
        </w:tc>
        <w:tc>
          <w:tcPr>
            <w:tcW w:w="1403"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Avg. Customer Reference Load</w:t>
            </w:r>
          </w:p>
        </w:tc>
        <w:tc>
          <w:tcPr>
            <w:tcW w:w="1155"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Avg. Customer Load w/ DR</w:t>
            </w:r>
          </w:p>
        </w:tc>
        <w:tc>
          <w:tcPr>
            <w:tcW w:w="732"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Impact</w:t>
            </w:r>
          </w:p>
        </w:tc>
        <w:tc>
          <w:tcPr>
            <w:tcW w:w="1008"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Aggregate Impact</w:t>
            </w:r>
          </w:p>
        </w:tc>
        <w:tc>
          <w:tcPr>
            <w:tcW w:w="999"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 Reduction</w:t>
            </w:r>
          </w:p>
        </w:tc>
        <w:tc>
          <w:tcPr>
            <w:tcW w:w="661"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Avg. Temp</w:t>
            </w:r>
          </w:p>
        </w:tc>
        <w:tc>
          <w:tcPr>
            <w:tcW w:w="788" w:type="dxa"/>
            <w:vMerge w:val="restart"/>
            <w:tcBorders>
              <w:top w:val="single" w:sz="4" w:space="0" w:color="000000"/>
              <w:left w:val="single" w:sz="4" w:space="0" w:color="FFFFFF"/>
              <w:bottom w:val="single" w:sz="4" w:space="0" w:color="000000"/>
              <w:right w:val="single" w:sz="4" w:space="0" w:color="000000"/>
            </w:tcBorders>
            <w:shd w:val="clear" w:color="auto" w:fill="0070CD"/>
            <w:vAlign w:val="center"/>
            <w:hideMark/>
          </w:tcPr>
          <w:p w:rsidR="009A283D" w:rsidRPr="0061265C" w:rsidRDefault="009A283D" w:rsidP="003F5210">
            <w:pPr>
              <w:spacing w:after="0" w:line="240" w:lineRule="auto"/>
              <w:jc w:val="center"/>
              <w:rPr>
                <w:rFonts w:ascii="Arial" w:eastAsia="Times New Roman" w:hAnsi="Arial" w:cs="Arial"/>
                <w:b/>
                <w:bCs/>
                <w:color w:val="FFFFFF"/>
                <w:sz w:val="16"/>
                <w:szCs w:val="16"/>
              </w:rPr>
            </w:pPr>
            <w:r w:rsidRPr="0061265C">
              <w:rPr>
                <w:rFonts w:ascii="Arial" w:eastAsia="Times New Roman" w:hAnsi="Arial" w:cs="Arial"/>
                <w:b/>
                <w:bCs/>
                <w:color w:val="FFFFFF"/>
                <w:sz w:val="16"/>
                <w:szCs w:val="16"/>
              </w:rPr>
              <w:t xml:space="preserve">Stat. </w:t>
            </w:r>
            <w:r w:rsidR="00B770C4">
              <w:rPr>
                <w:rFonts w:ascii="Arial" w:eastAsia="Times New Roman" w:hAnsi="Arial" w:cs="Arial"/>
                <w:b/>
                <w:bCs/>
                <w:color w:val="FFFFFF"/>
                <w:sz w:val="16"/>
                <w:szCs w:val="16"/>
              </w:rPr>
              <w:t>S</w:t>
            </w:r>
            <w:r w:rsidRPr="0061265C">
              <w:rPr>
                <w:rFonts w:ascii="Arial" w:eastAsia="Times New Roman" w:hAnsi="Arial" w:cs="Arial"/>
                <w:b/>
                <w:bCs/>
                <w:color w:val="FFFFFF"/>
                <w:sz w:val="16"/>
                <w:szCs w:val="16"/>
              </w:rPr>
              <w:t>ig?</w:t>
            </w:r>
          </w:p>
        </w:tc>
      </w:tr>
      <w:tr w:rsidR="008A2BA6" w:rsidRPr="0061265C" w:rsidTr="00B304ED">
        <w:trPr>
          <w:trHeight w:val="300"/>
          <w:jc w:val="center"/>
        </w:trPr>
        <w:tc>
          <w:tcPr>
            <w:tcW w:w="1239" w:type="dxa"/>
            <w:vMerge/>
            <w:tcBorders>
              <w:top w:val="single" w:sz="4" w:space="0" w:color="000000"/>
              <w:left w:val="single" w:sz="4" w:space="0" w:color="000000"/>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6"/>
                <w:szCs w:val="16"/>
              </w:rPr>
            </w:pPr>
          </w:p>
        </w:tc>
        <w:tc>
          <w:tcPr>
            <w:tcW w:w="1208"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6"/>
                <w:szCs w:val="16"/>
              </w:rPr>
            </w:pPr>
          </w:p>
        </w:tc>
        <w:tc>
          <w:tcPr>
            <w:tcW w:w="1025" w:type="dxa"/>
            <w:vMerge/>
            <w:tcBorders>
              <w:top w:val="single" w:sz="4" w:space="0" w:color="000000"/>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6"/>
                <w:szCs w:val="16"/>
              </w:rPr>
            </w:pPr>
          </w:p>
        </w:tc>
        <w:tc>
          <w:tcPr>
            <w:tcW w:w="1403"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(kW)</w:t>
            </w:r>
          </w:p>
        </w:tc>
        <w:tc>
          <w:tcPr>
            <w:tcW w:w="1155"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(kW)</w:t>
            </w:r>
          </w:p>
        </w:tc>
        <w:tc>
          <w:tcPr>
            <w:tcW w:w="732"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(kW)</w:t>
            </w:r>
          </w:p>
        </w:tc>
        <w:tc>
          <w:tcPr>
            <w:tcW w:w="1008"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(MW)</w:t>
            </w:r>
          </w:p>
        </w:tc>
        <w:tc>
          <w:tcPr>
            <w:tcW w:w="999"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w:t>
            </w:r>
          </w:p>
        </w:tc>
        <w:tc>
          <w:tcPr>
            <w:tcW w:w="661" w:type="dxa"/>
            <w:tcBorders>
              <w:top w:val="nil"/>
              <w:left w:val="nil"/>
              <w:bottom w:val="single" w:sz="4" w:space="0" w:color="000000"/>
              <w:right w:val="single" w:sz="4" w:space="0" w:color="FFFFFF"/>
            </w:tcBorders>
            <w:shd w:val="clear" w:color="auto" w:fill="0070CD"/>
            <w:noWrap/>
            <w:vAlign w:val="center"/>
            <w:hideMark/>
          </w:tcPr>
          <w:p w:rsidR="009A283D" w:rsidRPr="007F6BEB" w:rsidRDefault="009A283D" w:rsidP="006D677D">
            <w:pPr>
              <w:spacing w:after="0" w:line="240" w:lineRule="auto"/>
              <w:jc w:val="center"/>
              <w:rPr>
                <w:rFonts w:ascii="Arial" w:eastAsia="Times New Roman" w:hAnsi="Arial" w:cs="Arial"/>
                <w:b/>
                <w:color w:val="FFFFFF"/>
                <w:sz w:val="16"/>
                <w:szCs w:val="16"/>
              </w:rPr>
            </w:pPr>
            <w:r w:rsidRPr="007F6BEB">
              <w:rPr>
                <w:rFonts w:ascii="Arial" w:eastAsia="Times New Roman" w:hAnsi="Arial" w:cs="Arial"/>
                <w:b/>
                <w:color w:val="FFFFFF"/>
                <w:sz w:val="16"/>
                <w:szCs w:val="16"/>
              </w:rPr>
              <w:t>(°F)</w:t>
            </w:r>
          </w:p>
        </w:tc>
        <w:tc>
          <w:tcPr>
            <w:tcW w:w="788" w:type="dxa"/>
            <w:vMerge/>
            <w:tcBorders>
              <w:top w:val="single" w:sz="4" w:space="0" w:color="000000"/>
              <w:left w:val="single" w:sz="4" w:space="0" w:color="FFFFFF"/>
              <w:bottom w:val="single" w:sz="4" w:space="0" w:color="000000"/>
              <w:right w:val="single" w:sz="4" w:space="0" w:color="000000"/>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6"/>
                <w:szCs w:val="16"/>
              </w:rPr>
            </w:pPr>
          </w:p>
        </w:tc>
      </w:tr>
      <w:tr w:rsidR="008028DC" w:rsidRPr="00A65942" w:rsidTr="00B304ED">
        <w:trPr>
          <w:trHeight w:val="300"/>
          <w:jc w:val="center"/>
        </w:trPr>
        <w:tc>
          <w:tcPr>
            <w:tcW w:w="1239" w:type="dxa"/>
            <w:vMerge w:val="restart"/>
            <w:tcBorders>
              <w:top w:val="nil"/>
              <w:left w:val="single" w:sz="4" w:space="0" w:color="auto"/>
              <w:bottom w:val="single" w:sz="4" w:space="0" w:color="000000"/>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By DMDRCAT</w:t>
            </w: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Size: Over 200kW</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831</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328.0</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300.4</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27.5</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22.9</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8.4%</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82.7</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Size: 20 kW to 199.99 kW</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300</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56.6</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48.7</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7.8</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2.3</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13.8%</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82.6</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Size: Under 20 kW</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10</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76.6</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60.8</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15.8</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0.2</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20.6%</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85.7</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No</w:t>
            </w:r>
          </w:p>
        </w:tc>
      </w:tr>
      <w:tr w:rsidR="008028DC" w:rsidRPr="00A65942" w:rsidTr="00B304ED">
        <w:trPr>
          <w:trHeight w:val="300"/>
          <w:jc w:val="center"/>
        </w:trPr>
        <w:tc>
          <w:tcPr>
            <w:tcW w:w="1239" w:type="dxa"/>
            <w:vMerge w:val="restart"/>
            <w:tcBorders>
              <w:top w:val="nil"/>
              <w:left w:val="single" w:sz="4" w:space="0" w:color="auto"/>
              <w:bottom w:val="single" w:sz="4" w:space="0" w:color="000000"/>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By Annual Consumption Quintiles</w:t>
            </w: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5th Quintile</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232</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707.5</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637.1</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70.4</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16.3</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9.9%</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82.6</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4th Quintile</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233</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270.5</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253.1</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17.4</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4.1</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6.4%</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82.5</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3rd Quintile</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231</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159.1</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149.4</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9.7</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2.2</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6.1%</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82.8</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2nd Quintile</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225</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90.1</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81.7</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8.4</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1.9</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9.3%</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82.9</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r w:rsidR="008028DC" w:rsidRPr="00A65942" w:rsidTr="00B304ED">
        <w:trPr>
          <w:trHeight w:val="300"/>
          <w:jc w:val="center"/>
        </w:trPr>
        <w:tc>
          <w:tcPr>
            <w:tcW w:w="1239" w:type="dxa"/>
            <w:vMerge/>
            <w:tcBorders>
              <w:top w:val="nil"/>
              <w:left w:val="single" w:sz="4" w:space="0" w:color="auto"/>
              <w:bottom w:val="single" w:sz="4" w:space="0" w:color="000000"/>
              <w:right w:val="single" w:sz="4" w:space="0" w:color="auto"/>
            </w:tcBorders>
            <w:vAlign w:val="center"/>
            <w:hideMark/>
          </w:tcPr>
          <w:p w:rsidR="009A283D" w:rsidRPr="0061265C" w:rsidRDefault="009A283D" w:rsidP="006D677D">
            <w:pPr>
              <w:spacing w:after="0" w:line="240" w:lineRule="auto"/>
              <w:rPr>
                <w:rFonts w:ascii="Arial" w:eastAsia="Times New Roman" w:hAnsi="Arial" w:cs="Arial"/>
                <w:sz w:val="16"/>
                <w:szCs w:val="16"/>
              </w:rPr>
            </w:pPr>
          </w:p>
        </w:tc>
        <w:tc>
          <w:tcPr>
            <w:tcW w:w="12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1st Quintile</w:t>
            </w:r>
          </w:p>
        </w:tc>
        <w:tc>
          <w:tcPr>
            <w:tcW w:w="102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219</w:t>
            </w:r>
          </w:p>
        </w:tc>
        <w:tc>
          <w:tcPr>
            <w:tcW w:w="1403"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26.2</w:t>
            </w:r>
          </w:p>
        </w:tc>
        <w:tc>
          <w:tcPr>
            <w:tcW w:w="1155"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22.3</w:t>
            </w:r>
          </w:p>
        </w:tc>
        <w:tc>
          <w:tcPr>
            <w:tcW w:w="732"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4.0</w:t>
            </w:r>
          </w:p>
        </w:tc>
        <w:tc>
          <w:tcPr>
            <w:tcW w:w="100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0.9</w:t>
            </w:r>
          </w:p>
        </w:tc>
        <w:tc>
          <w:tcPr>
            <w:tcW w:w="999"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15.1%</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82.7</w:t>
            </w:r>
          </w:p>
        </w:tc>
        <w:tc>
          <w:tcPr>
            <w:tcW w:w="78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sz w:val="16"/>
                <w:szCs w:val="16"/>
              </w:rPr>
            </w:pPr>
            <w:r w:rsidRPr="0061265C">
              <w:rPr>
                <w:rFonts w:ascii="Arial" w:eastAsia="Times New Roman" w:hAnsi="Arial" w:cs="Arial"/>
                <w:sz w:val="16"/>
                <w:szCs w:val="16"/>
              </w:rPr>
              <w:t>Yes</w:t>
            </w:r>
          </w:p>
        </w:tc>
      </w:tr>
    </w:tbl>
    <w:p w:rsidR="009A283D" w:rsidRDefault="009A283D" w:rsidP="009A283D">
      <w:pPr>
        <w:pStyle w:val="Heading2"/>
        <w:spacing w:before="360"/>
        <w:ind w:left="547" w:hanging="547"/>
      </w:pPr>
      <w:bookmarkStart w:id="242" w:name="_Toc412650626"/>
      <w:bookmarkStart w:id="243" w:name="_Toc415494806"/>
      <w:r>
        <w:t xml:space="preserve">Load </w:t>
      </w:r>
      <w:r w:rsidRPr="00B42F39">
        <w:t>Impacts</w:t>
      </w:r>
      <w:r>
        <w:t xml:space="preserve"> for Multi-DR P</w:t>
      </w:r>
      <w:r>
        <w:rPr>
          <w:rFonts w:hint="eastAsia"/>
        </w:rPr>
        <w:t>rogra</w:t>
      </w:r>
      <w:r>
        <w:t>m Participants</w:t>
      </w:r>
      <w:bookmarkEnd w:id="241"/>
      <w:bookmarkEnd w:id="242"/>
      <w:bookmarkEnd w:id="243"/>
      <w:r>
        <w:t xml:space="preserve"> </w:t>
      </w:r>
    </w:p>
    <w:p w:rsidR="009A283D" w:rsidRDefault="009A283D" w:rsidP="009A283D">
      <w:pPr>
        <w:pStyle w:val="BodyParagraph"/>
      </w:pPr>
      <w:r>
        <w:t>Table 8-4 shows load impacts for SDG&amp;E customers who were dually enrolled in other DR programs in 2014</w:t>
      </w:r>
      <w:proofErr w:type="gramStart"/>
      <w:r>
        <w:t xml:space="preserve">.  </w:t>
      </w:r>
      <w:proofErr w:type="gramEnd"/>
      <w:r>
        <w:t>SDG&amp;E’s CPP population has dual enrollment with two other demand response programs in 2014: the base interruptible program (BIP) and the capacity bidding program (CBP)</w:t>
      </w:r>
      <w:proofErr w:type="gramStart"/>
      <w:r>
        <w:t xml:space="preserve">.  </w:t>
      </w:r>
      <w:proofErr w:type="gramEnd"/>
      <w:r>
        <w:t>BIP estimates are not reported here as only two customers were dually enrolled with CPP</w:t>
      </w:r>
      <w:proofErr w:type="gramStart"/>
      <w:r>
        <w:t xml:space="preserve">.  </w:t>
      </w:r>
      <w:proofErr w:type="gramEnd"/>
      <w:r>
        <w:t xml:space="preserve">BIP and CBP are implemented at SDG&amp;E the same way as they are at PG&amp;E (see section 4.5 for a description of BIP and CBP).     </w:t>
      </w:r>
    </w:p>
    <w:p w:rsidR="009A283D" w:rsidRDefault="009A283D" w:rsidP="009A283D">
      <w:pPr>
        <w:pStyle w:val="BodyParagraph"/>
      </w:pPr>
      <w:r>
        <w:t>Despite the fact that the load impact estimate for CPP customers dually enrolled in CBP may be statistically significant, remember that these estimates are developed with data from very few customers</w:t>
      </w:r>
      <w:proofErr w:type="gramStart"/>
      <w:r>
        <w:t xml:space="preserve">.  </w:t>
      </w:r>
      <w:proofErr w:type="gramEnd"/>
      <w:r>
        <w:t>These estimates should only be cited with caution so as not to infer that CBP enrollment causes greater CPP load impacts.</w:t>
      </w:r>
    </w:p>
    <w:p w:rsidR="009A283D" w:rsidRDefault="009A283D" w:rsidP="009A283D">
      <w:pPr>
        <w:pStyle w:val="TableFigureCaption"/>
      </w:pPr>
      <w:r>
        <w:t>Table 8</w:t>
      </w:r>
      <w:r w:rsidRPr="00F538E3">
        <w:t>-</w:t>
      </w:r>
      <w:r>
        <w:t>4</w:t>
      </w:r>
      <w:r w:rsidRPr="00F538E3">
        <w:t xml:space="preserve">: </w:t>
      </w:r>
      <w:r>
        <w:t xml:space="preserve">Default </w:t>
      </w:r>
      <w:r w:rsidRPr="009A5CD1">
        <w:t>CPP Ex Post Load Impact</w:t>
      </w:r>
      <w:r>
        <w:t xml:space="preserve"> Estimates</w:t>
      </w:r>
      <w:r w:rsidRPr="009A5CD1">
        <w:t xml:space="preserve"> for Dual</w:t>
      </w:r>
      <w:r>
        <w:t>ly-e</w:t>
      </w:r>
      <w:r w:rsidRPr="009A5CD1">
        <w:t>nroll</w:t>
      </w:r>
      <w:r>
        <w:t>ed</w:t>
      </w:r>
      <w:r w:rsidRPr="009A5CD1">
        <w:t xml:space="preserve"> Participants</w:t>
      </w:r>
      <w:r>
        <w:br/>
        <w:t>Average 2014</w:t>
      </w:r>
      <w:r w:rsidRPr="00F538E3">
        <w:t xml:space="preserve"> </w:t>
      </w:r>
      <w:r>
        <w:t>SD</w:t>
      </w:r>
      <w:r w:rsidRPr="00F538E3">
        <w:t>G&amp;E CPP Event</w:t>
      </w:r>
      <w:r>
        <w:t xml:space="preserve"> (11 AM to 6 PM)</w:t>
      </w:r>
    </w:p>
    <w:tbl>
      <w:tblPr>
        <w:tblW w:w="10673" w:type="dxa"/>
        <w:jc w:val="center"/>
        <w:tblInd w:w="-288" w:type="dxa"/>
        <w:tblLook w:val="04A0" w:firstRow="1" w:lastRow="0" w:firstColumn="1" w:lastColumn="0" w:noHBand="0" w:noVBand="1"/>
      </w:tblPr>
      <w:tblGrid>
        <w:gridCol w:w="1318"/>
        <w:gridCol w:w="1080"/>
        <w:gridCol w:w="1656"/>
        <w:gridCol w:w="1314"/>
        <w:gridCol w:w="797"/>
        <w:gridCol w:w="1107"/>
        <w:gridCol w:w="1096"/>
        <w:gridCol w:w="958"/>
        <w:gridCol w:w="1347"/>
      </w:tblGrid>
      <w:tr w:rsidR="008028DC" w:rsidRPr="0061265C" w:rsidTr="008028DC">
        <w:trPr>
          <w:trHeight w:val="800"/>
          <w:jc w:val="center"/>
        </w:trPr>
        <w:tc>
          <w:tcPr>
            <w:tcW w:w="1318" w:type="dxa"/>
            <w:vMerge w:val="restart"/>
            <w:tcBorders>
              <w:top w:val="single" w:sz="4" w:space="0" w:color="000000"/>
              <w:left w:val="single" w:sz="4" w:space="0" w:color="auto"/>
              <w:bottom w:val="single" w:sz="4" w:space="0" w:color="000000"/>
              <w:right w:val="nil"/>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Dually Enrolled DR</w:t>
            </w:r>
          </w:p>
        </w:tc>
        <w:tc>
          <w:tcPr>
            <w:tcW w:w="1080" w:type="dxa"/>
            <w:vMerge w:val="restart"/>
            <w:tcBorders>
              <w:top w:val="single" w:sz="4" w:space="0" w:color="000000"/>
              <w:left w:val="single" w:sz="4" w:space="0" w:color="FFFFFF"/>
              <w:bottom w:val="single" w:sz="4" w:space="0" w:color="000000"/>
              <w:right w:val="nil"/>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Accounts</w:t>
            </w:r>
          </w:p>
        </w:tc>
        <w:tc>
          <w:tcPr>
            <w:tcW w:w="1656" w:type="dxa"/>
            <w:tcBorders>
              <w:top w:val="single" w:sz="4" w:space="0" w:color="000000"/>
              <w:left w:val="single" w:sz="4" w:space="0" w:color="FFFFFF"/>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Avg. Customer Reference Load</w:t>
            </w:r>
          </w:p>
        </w:tc>
        <w:tc>
          <w:tcPr>
            <w:tcW w:w="1314"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Avg. Customer Load w/ DR</w:t>
            </w:r>
          </w:p>
        </w:tc>
        <w:tc>
          <w:tcPr>
            <w:tcW w:w="797"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Impact</w:t>
            </w:r>
          </w:p>
        </w:tc>
        <w:tc>
          <w:tcPr>
            <w:tcW w:w="1107"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Aggregate Impact</w:t>
            </w:r>
          </w:p>
        </w:tc>
        <w:tc>
          <w:tcPr>
            <w:tcW w:w="1096"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 Reduction</w:t>
            </w:r>
          </w:p>
        </w:tc>
        <w:tc>
          <w:tcPr>
            <w:tcW w:w="958" w:type="dxa"/>
            <w:tcBorders>
              <w:top w:val="single" w:sz="4" w:space="0" w:color="000000"/>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Avg. Temp.</w:t>
            </w:r>
          </w:p>
        </w:tc>
        <w:tc>
          <w:tcPr>
            <w:tcW w:w="1347" w:type="dxa"/>
            <w:vMerge w:val="restart"/>
            <w:tcBorders>
              <w:top w:val="single" w:sz="4" w:space="0" w:color="000000"/>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3F5210">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 xml:space="preserve">Stat. </w:t>
            </w:r>
            <w:r w:rsidR="00194EF5">
              <w:rPr>
                <w:rFonts w:ascii="Arial" w:eastAsia="Times New Roman" w:hAnsi="Arial" w:cs="Arial"/>
                <w:b/>
                <w:bCs/>
                <w:color w:val="FFFFFF"/>
                <w:sz w:val="18"/>
                <w:szCs w:val="18"/>
              </w:rPr>
              <w:t>S</w:t>
            </w:r>
            <w:r w:rsidRPr="0061265C">
              <w:rPr>
                <w:rFonts w:ascii="Arial" w:eastAsia="Times New Roman" w:hAnsi="Arial" w:cs="Arial"/>
                <w:b/>
                <w:bCs/>
                <w:color w:val="FFFFFF"/>
                <w:sz w:val="18"/>
                <w:szCs w:val="18"/>
              </w:rPr>
              <w:t>ig?</w:t>
            </w:r>
          </w:p>
        </w:tc>
      </w:tr>
      <w:tr w:rsidR="008A2BA6" w:rsidRPr="0061265C" w:rsidTr="00194EF5">
        <w:trPr>
          <w:trHeight w:val="300"/>
          <w:jc w:val="center"/>
        </w:trPr>
        <w:tc>
          <w:tcPr>
            <w:tcW w:w="1318" w:type="dxa"/>
            <w:vMerge/>
            <w:tcBorders>
              <w:top w:val="single" w:sz="4" w:space="0" w:color="000000"/>
              <w:left w:val="single" w:sz="4" w:space="0" w:color="auto"/>
              <w:bottom w:val="single" w:sz="4" w:space="0" w:color="000000"/>
              <w:right w:val="nil"/>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1080" w:type="dxa"/>
            <w:vMerge/>
            <w:tcBorders>
              <w:top w:val="single" w:sz="4" w:space="0" w:color="000000"/>
              <w:left w:val="single" w:sz="4" w:space="0" w:color="FFFFFF"/>
              <w:bottom w:val="single" w:sz="4" w:space="0" w:color="000000"/>
              <w:right w:val="nil"/>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1656" w:type="dxa"/>
            <w:tcBorders>
              <w:top w:val="nil"/>
              <w:left w:val="single" w:sz="4" w:space="0" w:color="FFFFFF"/>
              <w:bottom w:val="single" w:sz="4" w:space="0" w:color="auto"/>
              <w:right w:val="nil"/>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color w:val="FFFFFF"/>
                <w:sz w:val="18"/>
                <w:szCs w:val="18"/>
              </w:rPr>
            </w:pPr>
            <w:r w:rsidRPr="0061265C">
              <w:rPr>
                <w:rFonts w:ascii="Arial" w:eastAsia="Times New Roman" w:hAnsi="Arial" w:cs="Arial"/>
                <w:b/>
                <w:color w:val="FFFFFF"/>
                <w:sz w:val="18"/>
                <w:szCs w:val="18"/>
              </w:rPr>
              <w:t>(kW)</w:t>
            </w:r>
          </w:p>
        </w:tc>
        <w:tc>
          <w:tcPr>
            <w:tcW w:w="1314" w:type="dxa"/>
            <w:tcBorders>
              <w:top w:val="nil"/>
              <w:left w:val="single" w:sz="4" w:space="0" w:color="FFFFFF"/>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color w:val="FFFFFF"/>
                <w:sz w:val="18"/>
                <w:szCs w:val="18"/>
              </w:rPr>
            </w:pPr>
            <w:r w:rsidRPr="0061265C">
              <w:rPr>
                <w:rFonts w:ascii="Arial" w:eastAsia="Times New Roman" w:hAnsi="Arial" w:cs="Arial"/>
                <w:b/>
                <w:color w:val="FFFFFF"/>
                <w:sz w:val="18"/>
                <w:szCs w:val="18"/>
              </w:rPr>
              <w:t>(kW)</w:t>
            </w:r>
          </w:p>
        </w:tc>
        <w:tc>
          <w:tcPr>
            <w:tcW w:w="797"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color w:val="FFFFFF"/>
                <w:sz w:val="18"/>
                <w:szCs w:val="18"/>
              </w:rPr>
            </w:pPr>
            <w:r w:rsidRPr="0061265C">
              <w:rPr>
                <w:rFonts w:ascii="Arial" w:eastAsia="Times New Roman" w:hAnsi="Arial" w:cs="Arial"/>
                <w:b/>
                <w:color w:val="FFFFFF"/>
                <w:sz w:val="18"/>
                <w:szCs w:val="18"/>
              </w:rPr>
              <w:t>(kW)</w:t>
            </w:r>
          </w:p>
        </w:tc>
        <w:tc>
          <w:tcPr>
            <w:tcW w:w="1107" w:type="dxa"/>
            <w:tcBorders>
              <w:top w:val="nil"/>
              <w:left w:val="nil"/>
              <w:bottom w:val="nil"/>
              <w:right w:val="nil"/>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color w:val="FFFFFF"/>
                <w:sz w:val="18"/>
                <w:szCs w:val="18"/>
              </w:rPr>
            </w:pPr>
            <w:r w:rsidRPr="0061265C">
              <w:rPr>
                <w:rFonts w:ascii="Arial" w:eastAsia="Times New Roman" w:hAnsi="Arial" w:cs="Arial"/>
                <w:b/>
                <w:color w:val="FFFFFF"/>
                <w:sz w:val="18"/>
                <w:szCs w:val="18"/>
              </w:rPr>
              <w:t>(MW)</w:t>
            </w:r>
          </w:p>
        </w:tc>
        <w:tc>
          <w:tcPr>
            <w:tcW w:w="1096" w:type="dxa"/>
            <w:tcBorders>
              <w:top w:val="nil"/>
              <w:left w:val="single" w:sz="4" w:space="0" w:color="FFFFFF"/>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w:t>
            </w:r>
          </w:p>
        </w:tc>
        <w:tc>
          <w:tcPr>
            <w:tcW w:w="958" w:type="dxa"/>
            <w:tcBorders>
              <w:top w:val="nil"/>
              <w:left w:val="nil"/>
              <w:bottom w:val="single" w:sz="4" w:space="0" w:color="000000"/>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color w:val="FFFFFF"/>
                <w:sz w:val="18"/>
                <w:szCs w:val="18"/>
              </w:rPr>
            </w:pPr>
            <w:r w:rsidRPr="0061265C">
              <w:rPr>
                <w:rFonts w:ascii="Arial" w:eastAsia="Times New Roman" w:hAnsi="Arial" w:cs="Arial"/>
                <w:b/>
                <w:color w:val="FFFFFF"/>
                <w:sz w:val="18"/>
                <w:szCs w:val="18"/>
              </w:rPr>
              <w:t>°F</w:t>
            </w:r>
          </w:p>
        </w:tc>
        <w:tc>
          <w:tcPr>
            <w:tcW w:w="1347" w:type="dxa"/>
            <w:vMerge/>
            <w:tcBorders>
              <w:top w:val="single" w:sz="4" w:space="0" w:color="000000"/>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r>
      <w:tr w:rsidR="009A283D" w:rsidRPr="004F13D7" w:rsidTr="008028DC">
        <w:trPr>
          <w:trHeight w:val="300"/>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CBP</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21</w:t>
            </w:r>
          </w:p>
        </w:tc>
        <w:tc>
          <w:tcPr>
            <w:tcW w:w="165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416.9</w:t>
            </w:r>
          </w:p>
        </w:tc>
        <w:tc>
          <w:tcPr>
            <w:tcW w:w="131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259.7</w:t>
            </w:r>
          </w:p>
        </w:tc>
        <w:tc>
          <w:tcPr>
            <w:tcW w:w="79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157.2</w:t>
            </w:r>
          </w:p>
        </w:tc>
        <w:tc>
          <w:tcPr>
            <w:tcW w:w="1107" w:type="dxa"/>
            <w:tcBorders>
              <w:top w:val="single" w:sz="4" w:space="0" w:color="auto"/>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3.3</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38%</w:t>
            </w:r>
          </w:p>
        </w:tc>
        <w:tc>
          <w:tcPr>
            <w:tcW w:w="95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84.0</w:t>
            </w:r>
          </w:p>
        </w:tc>
        <w:tc>
          <w:tcPr>
            <w:tcW w:w="134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Yes</w:t>
            </w:r>
          </w:p>
        </w:tc>
      </w:tr>
      <w:tr w:rsidR="009A283D" w:rsidRPr="004F13D7" w:rsidTr="008028DC">
        <w:trPr>
          <w:trHeight w:val="300"/>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Not Dually-enrolled</w:t>
            </w:r>
          </w:p>
        </w:tc>
        <w:tc>
          <w:tcPr>
            <w:tcW w:w="108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1,119</w:t>
            </w:r>
          </w:p>
        </w:tc>
        <w:tc>
          <w:tcPr>
            <w:tcW w:w="165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251.5</w:t>
            </w:r>
          </w:p>
        </w:tc>
        <w:tc>
          <w:tcPr>
            <w:tcW w:w="131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231.7</w:t>
            </w:r>
          </w:p>
        </w:tc>
        <w:tc>
          <w:tcPr>
            <w:tcW w:w="79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19.8</w:t>
            </w:r>
          </w:p>
        </w:tc>
        <w:tc>
          <w:tcPr>
            <w:tcW w:w="110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22.1</w:t>
            </w:r>
          </w:p>
        </w:tc>
        <w:tc>
          <w:tcPr>
            <w:tcW w:w="109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8%</w:t>
            </w:r>
          </w:p>
        </w:tc>
        <w:tc>
          <w:tcPr>
            <w:tcW w:w="958"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82.7</w:t>
            </w:r>
          </w:p>
        </w:tc>
        <w:tc>
          <w:tcPr>
            <w:tcW w:w="1347"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Yes</w:t>
            </w:r>
          </w:p>
        </w:tc>
      </w:tr>
    </w:tbl>
    <w:p w:rsidR="009A283D" w:rsidRPr="00300297" w:rsidRDefault="009A283D" w:rsidP="009A283D">
      <w:pPr>
        <w:pStyle w:val="Footnote"/>
        <w:jc w:val="center"/>
      </w:pPr>
    </w:p>
    <w:p w:rsidR="009A283D" w:rsidRDefault="009A283D" w:rsidP="009A283D">
      <w:pPr>
        <w:pStyle w:val="Heading2"/>
        <w:spacing w:before="360"/>
        <w:ind w:left="547" w:hanging="547"/>
      </w:pPr>
      <w:bookmarkStart w:id="244" w:name="_Toc318473867"/>
      <w:bookmarkStart w:id="245" w:name="_Toc326072126"/>
      <w:bookmarkStart w:id="246" w:name="_Toc352323650"/>
      <w:bookmarkStart w:id="247" w:name="_Toc412650627"/>
      <w:bookmarkStart w:id="248" w:name="_Toc415494807"/>
      <w:r>
        <w:lastRenderedPageBreak/>
        <w:t xml:space="preserve">TI and </w:t>
      </w:r>
      <w:proofErr w:type="spellStart"/>
      <w:r w:rsidRPr="00B42F39">
        <w:t>AutoDR</w:t>
      </w:r>
      <w:proofErr w:type="spellEnd"/>
      <w:r>
        <w:t xml:space="preserve"> Load Impacts and Realization Rates</w:t>
      </w:r>
      <w:bookmarkEnd w:id="244"/>
      <w:bookmarkEnd w:id="245"/>
      <w:bookmarkEnd w:id="246"/>
      <w:bookmarkEnd w:id="247"/>
      <w:bookmarkEnd w:id="248"/>
      <w:r>
        <w:t xml:space="preserve"> </w:t>
      </w:r>
    </w:p>
    <w:p w:rsidR="009A283D" w:rsidRDefault="009A283D" w:rsidP="009A283D">
      <w:pPr>
        <w:pStyle w:val="BodyParagraph"/>
      </w:pPr>
      <w:r>
        <w:t xml:space="preserve">Table 8-5 shows the average weekday event load impacts for customers enrolled in TI and </w:t>
      </w:r>
      <w:proofErr w:type="spellStart"/>
      <w:r>
        <w:t>AutoDR</w:t>
      </w:r>
      <w:proofErr w:type="spellEnd"/>
      <w:proofErr w:type="gramStart"/>
      <w:r>
        <w:t xml:space="preserve">. </w:t>
      </w:r>
      <w:r w:rsidR="00194EF5">
        <w:t xml:space="preserve"> </w:t>
      </w:r>
      <w:proofErr w:type="gramEnd"/>
      <w:r>
        <w:t xml:space="preserve">Given the extremely small number of customers on TI and </w:t>
      </w:r>
      <w:proofErr w:type="spellStart"/>
      <w:r>
        <w:t>AutoDR</w:t>
      </w:r>
      <w:proofErr w:type="spellEnd"/>
      <w:r>
        <w:t xml:space="preserve">, this point impact </w:t>
      </w:r>
      <w:r w:rsidRPr="00B42F39">
        <w:t>estimate</w:t>
      </w:r>
      <w:r>
        <w:t xml:space="preserve"> is surrounded by a significant amount of uncertainty.  </w:t>
      </w:r>
    </w:p>
    <w:p w:rsidR="009A283D" w:rsidRDefault="009A283D" w:rsidP="009A283D">
      <w:pPr>
        <w:pStyle w:val="BodyParagraph"/>
      </w:pPr>
      <w:r>
        <w:t xml:space="preserve">As was true for the analysis of TI and </w:t>
      </w:r>
      <w:proofErr w:type="spellStart"/>
      <w:r>
        <w:t>AutoDR</w:t>
      </w:r>
      <w:proofErr w:type="spellEnd"/>
      <w:r>
        <w:t xml:space="preserve"> for PG&amp;E and SCE, analysis of realization rates for SDG&amp;E CPP customers is hampered by the small number of customers who participated in the enabling technology programs</w:t>
      </w:r>
      <w:proofErr w:type="gramStart"/>
      <w:r>
        <w:t xml:space="preserve">.  </w:t>
      </w:r>
      <w:proofErr w:type="gramEnd"/>
      <w:r>
        <w:t xml:space="preserve">The realization rate estimate contained in Table 8-5 should be cited with caution due to the very small number of customers with the enabling technology.  </w:t>
      </w:r>
    </w:p>
    <w:p w:rsidR="009A283D" w:rsidRDefault="009A283D" w:rsidP="009A283D">
      <w:pPr>
        <w:pStyle w:val="TableFigureCaption"/>
      </w:pPr>
      <w:r>
        <w:t>Table 8</w:t>
      </w:r>
      <w:r w:rsidRPr="00F538E3">
        <w:t>-</w:t>
      </w:r>
      <w:r>
        <w:t>5</w:t>
      </w:r>
      <w:r w:rsidRPr="00D53416">
        <w:t>: Default CPP Ex Post Load Impact Estimates</w:t>
      </w:r>
      <w:r>
        <w:t xml:space="preserve"> of TI and</w:t>
      </w:r>
      <w:r w:rsidRPr="00D53416">
        <w:t xml:space="preserve"> </w:t>
      </w:r>
      <w:proofErr w:type="spellStart"/>
      <w:r w:rsidRPr="00D53416">
        <w:t>AutoDR</w:t>
      </w:r>
      <w:proofErr w:type="spellEnd"/>
      <w:r w:rsidRPr="00D53416">
        <w:t xml:space="preserve"> Participants</w:t>
      </w:r>
      <w:r>
        <w:br/>
        <w:t xml:space="preserve">Average 2013 </w:t>
      </w:r>
      <w:r w:rsidRPr="00F538E3">
        <w:t>SDG&amp;E CPP Event</w:t>
      </w:r>
      <w:r>
        <w:t xml:space="preserve"> (11 AM to 6 PM)</w:t>
      </w:r>
    </w:p>
    <w:tbl>
      <w:tblPr>
        <w:tblW w:w="10120" w:type="dxa"/>
        <w:jc w:val="center"/>
        <w:tblInd w:w="93" w:type="dxa"/>
        <w:tblLook w:val="04A0" w:firstRow="1" w:lastRow="0" w:firstColumn="1" w:lastColumn="0" w:noHBand="0" w:noVBand="1"/>
      </w:tblPr>
      <w:tblGrid>
        <w:gridCol w:w="2883"/>
        <w:gridCol w:w="1037"/>
        <w:gridCol w:w="960"/>
        <w:gridCol w:w="1096"/>
        <w:gridCol w:w="956"/>
        <w:gridCol w:w="964"/>
        <w:gridCol w:w="1057"/>
        <w:gridCol w:w="1167"/>
      </w:tblGrid>
      <w:tr w:rsidR="009A283D" w:rsidRPr="0061265C" w:rsidTr="00564710">
        <w:trPr>
          <w:trHeight w:val="525"/>
          <w:jc w:val="center"/>
        </w:trPr>
        <w:tc>
          <w:tcPr>
            <w:tcW w:w="336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proofErr w:type="spellStart"/>
            <w:r w:rsidRPr="0061265C">
              <w:rPr>
                <w:rFonts w:ascii="Arial" w:eastAsia="Times New Roman" w:hAnsi="Arial" w:cs="Arial"/>
                <w:b/>
                <w:bCs/>
                <w:color w:val="FFFFFF"/>
                <w:sz w:val="18"/>
                <w:szCs w:val="18"/>
              </w:rPr>
              <w:t>AutoDR</w:t>
            </w:r>
            <w:proofErr w:type="spellEnd"/>
          </w:p>
        </w:tc>
        <w:tc>
          <w:tcPr>
            <w:tcW w:w="100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Accounts</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Impact</w:t>
            </w:r>
          </w:p>
        </w:tc>
        <w:tc>
          <w:tcPr>
            <w:tcW w:w="960" w:type="dxa"/>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 Reduction</w:t>
            </w:r>
          </w:p>
        </w:tc>
        <w:tc>
          <w:tcPr>
            <w:tcW w:w="1920" w:type="dxa"/>
            <w:gridSpan w:val="2"/>
            <w:tcBorders>
              <w:top w:val="single" w:sz="4" w:space="0" w:color="auto"/>
              <w:left w:val="nil"/>
              <w:bottom w:val="single" w:sz="4" w:space="0" w:color="FFFFFF"/>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90% Confidence Interval</w:t>
            </w:r>
          </w:p>
        </w:tc>
        <w:tc>
          <w:tcPr>
            <w:tcW w:w="96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Approved kW</w:t>
            </w:r>
          </w:p>
        </w:tc>
        <w:tc>
          <w:tcPr>
            <w:tcW w:w="96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Realization Rate</w:t>
            </w:r>
          </w:p>
        </w:tc>
      </w:tr>
      <w:tr w:rsidR="009A283D" w:rsidRPr="0061265C" w:rsidTr="00564710">
        <w:trPr>
          <w:trHeight w:val="300"/>
          <w:jc w:val="center"/>
        </w:trPr>
        <w:tc>
          <w:tcPr>
            <w:tcW w:w="336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100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960"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(kW)</w:t>
            </w:r>
          </w:p>
        </w:tc>
        <w:tc>
          <w:tcPr>
            <w:tcW w:w="960" w:type="dxa"/>
            <w:tcBorders>
              <w:top w:val="nil"/>
              <w:left w:val="nil"/>
              <w:bottom w:val="single" w:sz="4" w:space="0" w:color="auto"/>
              <w:right w:val="single" w:sz="4" w:space="0" w:color="FFFFFF"/>
            </w:tcBorders>
            <w:shd w:val="clear" w:color="auto" w:fill="0070CD"/>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w:t>
            </w:r>
          </w:p>
        </w:tc>
        <w:tc>
          <w:tcPr>
            <w:tcW w:w="956" w:type="dxa"/>
            <w:tcBorders>
              <w:top w:val="nil"/>
              <w:left w:val="nil"/>
              <w:bottom w:val="single" w:sz="4" w:space="0" w:color="auto"/>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Lower</w:t>
            </w:r>
          </w:p>
        </w:tc>
        <w:tc>
          <w:tcPr>
            <w:tcW w:w="964" w:type="dxa"/>
            <w:tcBorders>
              <w:top w:val="nil"/>
              <w:left w:val="nil"/>
              <w:bottom w:val="single" w:sz="4" w:space="0" w:color="auto"/>
              <w:right w:val="single" w:sz="4" w:space="0" w:color="FFFFFF"/>
            </w:tcBorders>
            <w:shd w:val="clear" w:color="auto" w:fill="0070CD"/>
            <w:noWrap/>
            <w:vAlign w:val="center"/>
            <w:hideMark/>
          </w:tcPr>
          <w:p w:rsidR="009A283D" w:rsidRPr="0061265C" w:rsidRDefault="009A283D" w:rsidP="006D677D">
            <w:pPr>
              <w:spacing w:after="0" w:line="240" w:lineRule="auto"/>
              <w:jc w:val="center"/>
              <w:rPr>
                <w:rFonts w:ascii="Arial" w:eastAsia="Times New Roman" w:hAnsi="Arial" w:cs="Arial"/>
                <w:b/>
                <w:bCs/>
                <w:color w:val="FFFFFF"/>
                <w:sz w:val="18"/>
                <w:szCs w:val="18"/>
              </w:rPr>
            </w:pPr>
            <w:r w:rsidRPr="0061265C">
              <w:rPr>
                <w:rFonts w:ascii="Arial" w:eastAsia="Times New Roman" w:hAnsi="Arial" w:cs="Arial"/>
                <w:b/>
                <w:bCs/>
                <w:color w:val="FFFFFF"/>
                <w:sz w:val="18"/>
                <w:szCs w:val="18"/>
              </w:rPr>
              <w:t>Upper</w:t>
            </w:r>
          </w:p>
        </w:tc>
        <w:tc>
          <w:tcPr>
            <w:tcW w:w="96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c>
          <w:tcPr>
            <w:tcW w:w="96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9A283D" w:rsidRPr="0061265C" w:rsidRDefault="009A283D" w:rsidP="006D677D">
            <w:pPr>
              <w:spacing w:after="0" w:line="240" w:lineRule="auto"/>
              <w:rPr>
                <w:rFonts w:ascii="Arial" w:eastAsia="Times New Roman" w:hAnsi="Arial" w:cs="Arial"/>
                <w:b/>
                <w:bCs/>
                <w:color w:val="FFFFFF"/>
                <w:sz w:val="18"/>
                <w:szCs w:val="18"/>
              </w:rPr>
            </w:pPr>
          </w:p>
        </w:tc>
      </w:tr>
      <w:tr w:rsidR="009A283D" w:rsidRPr="000906A4" w:rsidTr="008028DC">
        <w:trPr>
          <w:trHeight w:val="359"/>
          <w:jc w:val="center"/>
        </w:trPr>
        <w:tc>
          <w:tcPr>
            <w:tcW w:w="3360" w:type="dxa"/>
            <w:tcBorders>
              <w:top w:val="nil"/>
              <w:left w:val="single" w:sz="4" w:space="0" w:color="auto"/>
              <w:bottom w:val="single" w:sz="4" w:space="0" w:color="auto"/>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proofErr w:type="spellStart"/>
            <w:r w:rsidRPr="0061265C">
              <w:rPr>
                <w:rFonts w:ascii="Arial" w:eastAsia="Times New Roman" w:hAnsi="Arial" w:cs="Arial"/>
                <w:color w:val="000000"/>
                <w:sz w:val="18"/>
                <w:szCs w:val="18"/>
              </w:rPr>
              <w:t>AutoDR</w:t>
            </w:r>
            <w:proofErr w:type="spellEnd"/>
            <w:r w:rsidRPr="0061265C">
              <w:rPr>
                <w:rFonts w:ascii="Arial" w:eastAsia="Times New Roman" w:hAnsi="Arial" w:cs="Arial"/>
                <w:color w:val="000000"/>
                <w:sz w:val="18"/>
                <w:szCs w:val="18"/>
              </w:rPr>
              <w:t>/TI**</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3F5210">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27</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-18.4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-5.0%</w:t>
            </w:r>
          </w:p>
        </w:tc>
        <w:tc>
          <w:tcPr>
            <w:tcW w:w="95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-45.0</w:t>
            </w:r>
          </w:p>
        </w:tc>
        <w:tc>
          <w:tcPr>
            <w:tcW w:w="96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8.1</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164.9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E65224">
            <w:pPr>
              <w:spacing w:after="0" w:line="240" w:lineRule="auto"/>
              <w:jc w:val="center"/>
              <w:rPr>
                <w:rFonts w:ascii="Arial" w:eastAsia="Times New Roman" w:hAnsi="Arial" w:cs="Arial"/>
                <w:sz w:val="18"/>
                <w:szCs w:val="18"/>
              </w:rPr>
            </w:pPr>
            <w:r>
              <w:rPr>
                <w:rFonts w:ascii="Arial" w:eastAsia="Times New Roman" w:hAnsi="Arial" w:cs="Arial"/>
                <w:sz w:val="18"/>
                <w:szCs w:val="18"/>
              </w:rPr>
              <w:t>0</w:t>
            </w:r>
            <w:r w:rsidR="009A283D" w:rsidRPr="0061265C">
              <w:rPr>
                <w:rFonts w:ascii="Arial" w:eastAsia="Times New Roman" w:hAnsi="Arial" w:cs="Arial"/>
                <w:sz w:val="18"/>
                <w:szCs w:val="18"/>
              </w:rPr>
              <w:t>%</w:t>
            </w:r>
          </w:p>
        </w:tc>
      </w:tr>
      <w:tr w:rsidR="009A283D" w:rsidRPr="000906A4" w:rsidTr="008028DC">
        <w:trPr>
          <w:trHeight w:val="300"/>
          <w:jc w:val="center"/>
        </w:trPr>
        <w:tc>
          <w:tcPr>
            <w:tcW w:w="3360" w:type="dxa"/>
            <w:tcBorders>
              <w:top w:val="nil"/>
              <w:left w:val="single" w:sz="4" w:space="0" w:color="auto"/>
              <w:bottom w:val="single" w:sz="4" w:space="0" w:color="auto"/>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TI**</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3F5210">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58.3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4.0%</w:t>
            </w:r>
          </w:p>
        </w:tc>
        <w:tc>
          <w:tcPr>
            <w:tcW w:w="95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-12.4</w:t>
            </w:r>
          </w:p>
        </w:tc>
        <w:tc>
          <w:tcPr>
            <w:tcW w:w="96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129.0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570.6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10.2%</w:t>
            </w:r>
          </w:p>
        </w:tc>
      </w:tr>
      <w:tr w:rsidR="009A283D" w:rsidRPr="000906A4" w:rsidTr="008028DC">
        <w:trPr>
          <w:trHeight w:val="300"/>
          <w:jc w:val="center"/>
        </w:trPr>
        <w:tc>
          <w:tcPr>
            <w:tcW w:w="3360" w:type="dxa"/>
            <w:tcBorders>
              <w:top w:val="nil"/>
              <w:left w:val="single" w:sz="4" w:space="0" w:color="auto"/>
              <w:bottom w:val="single" w:sz="4" w:space="0" w:color="auto"/>
              <w:right w:val="single" w:sz="4" w:space="0" w:color="auto"/>
            </w:tcBorders>
            <w:shd w:val="clear" w:color="auto" w:fill="auto"/>
            <w:vAlign w:val="center"/>
            <w:hideMark/>
          </w:tcPr>
          <w:p w:rsidR="009A283D" w:rsidRPr="0061265C" w:rsidRDefault="009A283D" w:rsidP="006D677D">
            <w:pPr>
              <w:spacing w:after="0" w:line="240" w:lineRule="auto"/>
              <w:jc w:val="center"/>
              <w:rPr>
                <w:rFonts w:ascii="Arial" w:eastAsia="Times New Roman" w:hAnsi="Arial" w:cs="Arial"/>
                <w:color w:val="000000"/>
                <w:sz w:val="18"/>
                <w:szCs w:val="18"/>
              </w:rPr>
            </w:pPr>
            <w:r w:rsidRPr="0061265C">
              <w:rPr>
                <w:rFonts w:ascii="Arial" w:eastAsia="Times New Roman" w:hAnsi="Arial" w:cs="Arial"/>
                <w:color w:val="000000"/>
                <w:sz w:val="18"/>
                <w:szCs w:val="18"/>
              </w:rPr>
              <w:t xml:space="preserve">No </w:t>
            </w:r>
            <w:proofErr w:type="spellStart"/>
            <w:r w:rsidRPr="0061265C">
              <w:rPr>
                <w:rFonts w:ascii="Arial" w:eastAsia="Times New Roman" w:hAnsi="Arial" w:cs="Arial"/>
                <w:color w:val="000000"/>
                <w:sz w:val="18"/>
                <w:szCs w:val="18"/>
              </w:rPr>
              <w:t>AutoDR</w:t>
            </w:r>
            <w:proofErr w:type="spellEnd"/>
            <w:r w:rsidRPr="0061265C">
              <w:rPr>
                <w:rFonts w:ascii="Arial" w:eastAsia="Times New Roman" w:hAnsi="Arial" w:cs="Arial"/>
                <w:color w:val="000000"/>
                <w:sz w:val="18"/>
                <w:szCs w:val="18"/>
              </w:rPr>
              <w:t>/TI</w:t>
            </w:r>
          </w:p>
        </w:tc>
        <w:tc>
          <w:tcPr>
            <w:tcW w:w="100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rsidP="003F5210">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1,109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23.1</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9.4%</w:t>
            </w:r>
          </w:p>
        </w:tc>
        <w:tc>
          <w:tcPr>
            <w:tcW w:w="956"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18.4</w:t>
            </w:r>
          </w:p>
        </w:tc>
        <w:tc>
          <w:tcPr>
            <w:tcW w:w="964"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27.9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61265C" w:rsidRDefault="009A283D">
            <w:pPr>
              <w:spacing w:after="0" w:line="240" w:lineRule="auto"/>
              <w:jc w:val="center"/>
              <w:rPr>
                <w:rFonts w:ascii="Arial" w:eastAsia="Times New Roman" w:hAnsi="Arial" w:cs="Arial"/>
                <w:sz w:val="18"/>
                <w:szCs w:val="18"/>
              </w:rPr>
            </w:pPr>
            <w:r w:rsidRPr="0061265C">
              <w:rPr>
                <w:rFonts w:ascii="Arial" w:eastAsia="Times New Roman" w:hAnsi="Arial" w:cs="Arial"/>
                <w:sz w:val="18"/>
                <w:szCs w:val="18"/>
              </w:rPr>
              <w:t>-</w:t>
            </w:r>
          </w:p>
        </w:tc>
      </w:tr>
    </w:tbl>
    <w:p w:rsidR="009A283D" w:rsidRPr="000906A4" w:rsidRDefault="009A283D" w:rsidP="009A283D">
      <w:pPr>
        <w:pStyle w:val="Footnote"/>
      </w:pPr>
      <w:r w:rsidRPr="00FE1258">
        <w:rPr>
          <w:rFonts w:eastAsia="Times New Roman" w:cs="Times New Roman"/>
        </w:rPr>
        <w:t xml:space="preserve">* </w:t>
      </w:r>
      <w:r w:rsidRPr="00FE1258">
        <w:t>Does not represent a conclusive finding for this reporting segment due to the small sample size and uncertainty in the estimate.</w:t>
      </w:r>
    </w:p>
    <w:p w:rsidR="009A283D" w:rsidRPr="0074026D" w:rsidRDefault="009A283D" w:rsidP="009A283D">
      <w:pPr>
        <w:pStyle w:val="Footnote"/>
        <w:jc w:val="center"/>
      </w:pPr>
    </w:p>
    <w:p w:rsidR="009A283D" w:rsidRDefault="009A283D" w:rsidP="009A283D">
      <w:pPr>
        <w:rPr>
          <w:rFonts w:eastAsia="Times New Roman" w:cs="Times New Roman"/>
          <w:b/>
          <w:color w:val="1F497D"/>
          <w:sz w:val="28"/>
          <w:szCs w:val="28"/>
        </w:rPr>
      </w:pPr>
      <w:bookmarkStart w:id="249" w:name="_Toc352323652"/>
      <w:bookmarkStart w:id="250" w:name="_Toc286998010"/>
      <w:bookmarkStart w:id="251" w:name="_Toc326072137"/>
      <w:r>
        <w:br w:type="page"/>
      </w:r>
    </w:p>
    <w:p w:rsidR="009A283D" w:rsidRDefault="009A283D" w:rsidP="009A283D">
      <w:pPr>
        <w:pStyle w:val="Heading1"/>
        <w:ind w:left="432" w:hanging="432"/>
      </w:pPr>
      <w:bookmarkStart w:id="252" w:name="_Toc352323665"/>
      <w:bookmarkStart w:id="253" w:name="_Toc412650628"/>
      <w:bookmarkStart w:id="254" w:name="_Toc415494808"/>
      <w:bookmarkEnd w:id="249"/>
      <w:bookmarkEnd w:id="250"/>
      <w:bookmarkEnd w:id="251"/>
      <w:r>
        <w:lastRenderedPageBreak/>
        <w:t>SDG&amp;E Ex Ante Load Impacts</w:t>
      </w:r>
      <w:bookmarkEnd w:id="252"/>
      <w:bookmarkEnd w:id="253"/>
      <w:bookmarkEnd w:id="254"/>
    </w:p>
    <w:p w:rsidR="009A283D" w:rsidRDefault="009A283D" w:rsidP="009A283D">
      <w:pPr>
        <w:pStyle w:val="BodyParagraph"/>
        <w:rPr>
          <w:highlight w:val="yellow"/>
        </w:rPr>
      </w:pPr>
      <w:r w:rsidRPr="007954D4">
        <w:t xml:space="preserve">This section presents ex ante load impact estimates for </w:t>
      </w:r>
      <w:r>
        <w:t>SDG&amp;E's</w:t>
      </w:r>
      <w:r w:rsidRPr="007954D4">
        <w:t xml:space="preserve"> </w:t>
      </w:r>
      <w:r>
        <w:t>non-residential CPP tariff</w:t>
      </w:r>
      <w:proofErr w:type="gramStart"/>
      <w:r>
        <w:t xml:space="preserve">.  </w:t>
      </w:r>
      <w:proofErr w:type="gramEnd"/>
      <w:r>
        <w:t>As discussed in Section 3, the main purpose of ex ante load impact estimates is to reflect the load reduction capability of a demand response resource under a standard set of conditions that align with system planning</w:t>
      </w:r>
      <w:proofErr w:type="gramStart"/>
      <w:r>
        <w:t xml:space="preserve">.  </w:t>
      </w:r>
      <w:proofErr w:type="gramEnd"/>
      <w:r>
        <w:t>These estimates are used in assessing alternatives for meeting peak demand, cost-effectiveness comparisons and long</w:t>
      </w:r>
      <w:r w:rsidR="008D38B2">
        <w:t>-</w:t>
      </w:r>
      <w:r>
        <w:t>term planning</w:t>
      </w:r>
      <w:proofErr w:type="gramStart"/>
      <w:r>
        <w:t xml:space="preserve">.  </w:t>
      </w:r>
      <w:proofErr w:type="gramEnd"/>
      <w:r>
        <w:t xml:space="preserve">The </w:t>
      </w:r>
      <w:proofErr w:type="spellStart"/>
      <w:r>
        <w:t>ex ante</w:t>
      </w:r>
      <w:proofErr w:type="spellEnd"/>
      <w:r>
        <w:t xml:space="preserve"> impact estimates for SDG&amp;E are based on ex post load impacts of CPP events that occurred in 2013 and 2014</w:t>
      </w:r>
      <w:proofErr w:type="gramStart"/>
      <w:r>
        <w:t xml:space="preserve">.  </w:t>
      </w:r>
      <w:proofErr w:type="gramEnd"/>
      <w:r>
        <w:t>In total, load impact estimates for up to 10</w:t>
      </w:r>
      <w:r w:rsidRPr="00C267AC">
        <w:t xml:space="preserve"> events</w:t>
      </w:r>
      <w:r>
        <w:t xml:space="preserve"> were used as input to the </w:t>
      </w:r>
      <w:proofErr w:type="spellStart"/>
      <w:r>
        <w:t>ex ante</w:t>
      </w:r>
      <w:proofErr w:type="spellEnd"/>
      <w:r>
        <w:t xml:space="preserve"> model</w:t>
      </w:r>
      <w:proofErr w:type="gramStart"/>
      <w:r>
        <w:t xml:space="preserve">.  </w:t>
      </w:r>
      <w:proofErr w:type="gramEnd"/>
      <w:r>
        <w:t>All load impact estimates presented here are incremental to the effects of the underlying TOU rates.</w:t>
      </w:r>
    </w:p>
    <w:p w:rsidR="009A283D" w:rsidRDefault="009A283D" w:rsidP="009A283D">
      <w:pPr>
        <w:pStyle w:val="BodyParagraph"/>
      </w:pPr>
      <w:r>
        <w:t>T</w:t>
      </w:r>
      <w:r w:rsidRPr="00B73C21">
        <w:t xml:space="preserve">his section presents the </w:t>
      </w:r>
      <w:proofErr w:type="spellStart"/>
      <w:r w:rsidRPr="00B73C21">
        <w:t>ex ante</w:t>
      </w:r>
      <w:proofErr w:type="spellEnd"/>
      <w:r w:rsidRPr="00B73C21">
        <w:t xml:space="preserve"> load impact projections </w:t>
      </w:r>
      <w:r>
        <w:t xml:space="preserve">separately </w:t>
      </w:r>
      <w:r w:rsidRPr="00B73C21">
        <w:t>for medium and large customers proj</w:t>
      </w:r>
      <w:r>
        <w:t>ected to receive service under SD</w:t>
      </w:r>
      <w:r w:rsidRPr="00B73C21">
        <w:t xml:space="preserve">G&amp;E’s </w:t>
      </w:r>
      <w:r>
        <w:t xml:space="preserve">default </w:t>
      </w:r>
      <w:r w:rsidRPr="00B73C21">
        <w:t>CPP tariff</w:t>
      </w:r>
      <w:proofErr w:type="gramStart"/>
      <w:r w:rsidRPr="00B73C21">
        <w:t xml:space="preserve">.  </w:t>
      </w:r>
      <w:proofErr w:type="gramEnd"/>
      <w:r>
        <w:t>L</w:t>
      </w:r>
      <w:r w:rsidRPr="00B73C21">
        <w:t xml:space="preserve">oad reduction capability is summarized </w:t>
      </w:r>
      <w:r>
        <w:t>for each segment under</w:t>
      </w:r>
      <w:r w:rsidRPr="00B73C21">
        <w:t xml:space="preserve"> annual system peak day condition</w:t>
      </w:r>
      <w:r>
        <w:t>s for</w:t>
      </w:r>
      <w:r w:rsidRPr="00B73C21">
        <w:t xml:space="preserve"> </w:t>
      </w:r>
      <w:r>
        <w:t xml:space="preserve">a </w:t>
      </w:r>
      <w:r w:rsidRPr="00B73C21">
        <w:t>1-in-2 and a 1</w:t>
      </w:r>
      <w:r>
        <w:t>-in-10 weather year for selected years (e.g., 2015, 2016 and 2025)</w:t>
      </w:r>
      <w:r w:rsidR="008D38B2" w:rsidRPr="00B73C21">
        <w:t>.</w:t>
      </w:r>
      <w:r>
        <w:rPr>
          <w:rStyle w:val="FootnoteReference"/>
        </w:rPr>
        <w:footnoteReference w:id="30"/>
      </w:r>
      <w:proofErr w:type="gramStart"/>
      <w:r w:rsidRPr="00B73C21">
        <w:t xml:space="preserve"> </w:t>
      </w:r>
      <w:r>
        <w:t xml:space="preserve"> </w:t>
      </w:r>
      <w:proofErr w:type="gramEnd"/>
      <w:r>
        <w:t>The estimates presented here are at the program level and do not account for  dual enrollment of CPP participants in other DR programs</w:t>
      </w:r>
      <w:proofErr w:type="gramStart"/>
      <w:r>
        <w:t xml:space="preserve">.  </w:t>
      </w:r>
      <w:proofErr w:type="gramEnd"/>
      <w:r>
        <w:t>Portfolio-adjusted estimates that net out impacts for other programs if called at the same time are presented in Appendix F</w:t>
      </w:r>
      <w:proofErr w:type="gramStart"/>
      <w:r>
        <w:t xml:space="preserve">.  </w:t>
      </w:r>
      <w:proofErr w:type="gramEnd"/>
      <w:r>
        <w:t xml:space="preserve">Explanations of how CPP ex ante load </w:t>
      </w:r>
      <w:r w:rsidRPr="00B73C21">
        <w:t>impact</w:t>
      </w:r>
      <w:r>
        <w:t xml:space="preserve"> estimates</w:t>
      </w:r>
      <w:r w:rsidRPr="00B73C21">
        <w:t xml:space="preserve"> vary by geographic</w:t>
      </w:r>
      <w:r>
        <w:t xml:space="preserve"> location and month under</w:t>
      </w:r>
      <w:r w:rsidRPr="00B73C21">
        <w:t xml:space="preserve"> standardized ex ante conditions</w:t>
      </w:r>
      <w:r>
        <w:t xml:space="preserve"> are also included in this section</w:t>
      </w:r>
      <w:r w:rsidRPr="00B73C21">
        <w:t>.</w:t>
      </w:r>
      <w:r>
        <w:t xml:space="preserve">  </w:t>
      </w:r>
    </w:p>
    <w:p w:rsidR="009A283D" w:rsidRDefault="009A283D" w:rsidP="009A283D">
      <w:pPr>
        <w:pStyle w:val="BodyParagraph"/>
      </w:pPr>
      <w:r>
        <w:t>In addition to reflecting ex ante weather conditions and a standard event window, ex ante load impacts take into account both utility enrollment forecasts and changes to the design of default CPP ordered or approved by the CPUC</w:t>
      </w:r>
      <w:proofErr w:type="gramStart"/>
      <w:r>
        <w:t xml:space="preserve">.  </w:t>
      </w:r>
      <w:proofErr w:type="gramEnd"/>
      <w:r>
        <w:t>This section details how weather, enrollment and program changes affect any differences between ex post and ex ante impacts</w:t>
      </w:r>
      <w:proofErr w:type="gramStart"/>
      <w:r>
        <w:t xml:space="preserve">.  </w:t>
      </w:r>
      <w:proofErr w:type="gramEnd"/>
      <w:r>
        <w:t xml:space="preserve">A substantive change is </w:t>
      </w:r>
      <w:r>
        <w:rPr>
          <w:szCs w:val="18"/>
        </w:rPr>
        <w:t xml:space="preserve">scheduled for SDG&amp;E in the 2015–2025 forecast </w:t>
      </w:r>
      <w:proofErr w:type="gramStart"/>
      <w:r>
        <w:rPr>
          <w:szCs w:val="18"/>
        </w:rPr>
        <w:t>horizon</w:t>
      </w:r>
      <w:proofErr w:type="gramEnd"/>
      <w:r>
        <w:rPr>
          <w:szCs w:val="18"/>
        </w:rPr>
        <w:t xml:space="preserve">: SDG&amp;E is scheduled to begin to </w:t>
      </w:r>
      <w:r w:rsidRPr="002B5AC6">
        <w:rPr>
          <w:szCs w:val="18"/>
        </w:rPr>
        <w:t xml:space="preserve">default medium </w:t>
      </w:r>
      <w:r>
        <w:rPr>
          <w:szCs w:val="18"/>
        </w:rPr>
        <w:t xml:space="preserve">C&amp;I </w:t>
      </w:r>
      <w:r w:rsidR="00E65224">
        <w:rPr>
          <w:szCs w:val="18"/>
        </w:rPr>
        <w:t>customers</w:t>
      </w:r>
      <w:r>
        <w:rPr>
          <w:szCs w:val="18"/>
        </w:rPr>
        <w:t xml:space="preserve"> onto CPP rates. The</w:t>
      </w:r>
      <w:r w:rsidRPr="002B5AC6">
        <w:rPr>
          <w:szCs w:val="18"/>
        </w:rPr>
        <w:t>se customers can elect to opt out to TOU ra</w:t>
      </w:r>
      <w:r>
        <w:rPr>
          <w:szCs w:val="18"/>
        </w:rPr>
        <w:t>tes if they do not wish to</w:t>
      </w:r>
      <w:r w:rsidR="008D38B2">
        <w:rPr>
          <w:szCs w:val="18"/>
        </w:rPr>
        <w:t> </w:t>
      </w:r>
      <w:r>
        <w:rPr>
          <w:szCs w:val="18"/>
        </w:rPr>
        <w:t>take a</w:t>
      </w:r>
      <w:r w:rsidRPr="002B5AC6">
        <w:rPr>
          <w:szCs w:val="18"/>
        </w:rPr>
        <w:t xml:space="preserve"> CPP rate. </w:t>
      </w:r>
      <w:r>
        <w:t xml:space="preserve">     </w:t>
      </w:r>
    </w:p>
    <w:p w:rsidR="009A283D" w:rsidRDefault="009A283D" w:rsidP="009A283D">
      <w:pPr>
        <w:pStyle w:val="Heading2"/>
        <w:ind w:left="576" w:hanging="576"/>
      </w:pPr>
      <w:bookmarkStart w:id="255" w:name="_Toc415494809"/>
      <w:bookmarkStart w:id="256" w:name="_Toc350876899"/>
      <w:bookmarkStart w:id="257" w:name="_Toc351370133"/>
      <w:bookmarkStart w:id="258" w:name="_Toc352323666"/>
      <w:r>
        <w:t>Large C&amp;I Ex Ante Load Impacts</w:t>
      </w:r>
      <w:bookmarkEnd w:id="255"/>
    </w:p>
    <w:p w:rsidR="009A283D" w:rsidRDefault="009A283D" w:rsidP="009A283D">
      <w:pPr>
        <w:pStyle w:val="BodyParagraph"/>
      </w:pPr>
      <w:r>
        <w:t xml:space="preserve">As discussed in Section 3, the </w:t>
      </w:r>
      <w:proofErr w:type="spellStart"/>
      <w:r>
        <w:t>ex ante</w:t>
      </w:r>
      <w:proofErr w:type="spellEnd"/>
      <w:r>
        <w:t xml:space="preserve"> load impact estimates are based on a regression model that relates impacts to weather conditions using the ex post impacts and weather to estimate model coefficients</w:t>
      </w:r>
      <w:proofErr w:type="gramStart"/>
      <w:r>
        <w:t xml:space="preserve">.  </w:t>
      </w:r>
      <w:proofErr w:type="gramEnd"/>
      <w:r>
        <w:t xml:space="preserve">The model is based on ex post data from both 2013 and 2014.  </w:t>
      </w:r>
    </w:p>
    <w:p w:rsidR="009A283D" w:rsidRDefault="001837C0" w:rsidP="009A283D">
      <w:pPr>
        <w:pStyle w:val="BodyParagraph"/>
      </w:pPr>
      <w:r>
        <w:t xml:space="preserve">The </w:t>
      </w:r>
      <w:proofErr w:type="spellStart"/>
      <w:r>
        <w:t>ex ante</w:t>
      </w:r>
      <w:proofErr w:type="spellEnd"/>
      <w:r>
        <w:t xml:space="preserve"> percent load reductions for large C&amp;I customers are based on the</w:t>
      </w:r>
      <w:r w:rsidR="009A283D">
        <w:t xml:space="preserve"> 2013 and 2014 </w:t>
      </w:r>
      <w:r>
        <w:t xml:space="preserve">ex post results </w:t>
      </w:r>
      <w:r w:rsidR="009A283D">
        <w:t>for large, persistent customers</w:t>
      </w:r>
      <w:r w:rsidR="00E65224">
        <w:t>, which are those that have participated in all events over the past two years</w:t>
      </w:r>
      <w:proofErr w:type="gramStart"/>
      <w:r w:rsidR="009A283D">
        <w:t xml:space="preserve">.  </w:t>
      </w:r>
      <w:proofErr w:type="gramEnd"/>
      <w:r w:rsidR="00A77E68">
        <w:t>By removing variation in the customer mix from the analysis, we are better able to identify the underlying relationship between temperature and percent impacts</w:t>
      </w:r>
      <w:proofErr w:type="gramStart"/>
      <w:r w:rsidR="00A77E68">
        <w:t xml:space="preserve">.  </w:t>
      </w:r>
      <w:proofErr w:type="gramEnd"/>
      <w:r>
        <w:t>Table 9-1 shows the ex post load impact estimates for each event day and for the average event day in 2013 and 2014 for large, persistent customers</w:t>
      </w:r>
      <w:proofErr w:type="gramStart"/>
      <w:r>
        <w:t xml:space="preserve">.  </w:t>
      </w:r>
      <w:proofErr w:type="gramEnd"/>
      <w:r w:rsidR="009A283D">
        <w:t>The participant-weighted average temperature during the event period ranged from a low of 61.3</w:t>
      </w:r>
      <w:r w:rsidR="009A283D">
        <w:rPr>
          <w:rFonts w:cs="Arial"/>
        </w:rPr>
        <w:t>°</w:t>
      </w:r>
      <w:r w:rsidR="009A283D">
        <w:t>F to a high of 93.4</w:t>
      </w:r>
      <w:r w:rsidR="009A283D">
        <w:rPr>
          <w:rFonts w:cs="Arial"/>
        </w:rPr>
        <w:t>°</w:t>
      </w:r>
      <w:r w:rsidR="009A283D">
        <w:t>F</w:t>
      </w:r>
      <w:proofErr w:type="gramStart"/>
      <w:r w:rsidR="009A283D">
        <w:t xml:space="preserve">.  </w:t>
      </w:r>
      <w:proofErr w:type="gramEnd"/>
      <w:r w:rsidR="009A283D">
        <w:lastRenderedPageBreak/>
        <w:t>Percent impacts range</w:t>
      </w:r>
      <w:r w:rsidR="008D38B2">
        <w:t>d</w:t>
      </w:r>
      <w:r w:rsidR="009A283D">
        <w:t xml:space="preserve"> from 6.0% to 10.6%; average impacts range</w:t>
      </w:r>
      <w:r w:rsidR="008D38B2">
        <w:t>d</w:t>
      </w:r>
      <w:r w:rsidR="009A283D">
        <w:t xml:space="preserve"> from 11.8 kW to 27.3 kW; and aggregate impacts range</w:t>
      </w:r>
      <w:r w:rsidR="008D38B2">
        <w:t>d</w:t>
      </w:r>
      <w:r w:rsidR="009A283D">
        <w:t xml:space="preserve"> from 12.0 MW to 27.8 MW.  </w:t>
      </w:r>
    </w:p>
    <w:p w:rsidR="009A283D" w:rsidRDefault="009A283D" w:rsidP="009A283D">
      <w:pPr>
        <w:pStyle w:val="TableFigureCaption"/>
      </w:pPr>
      <w:r>
        <w:t>Table 9</w:t>
      </w:r>
      <w:r w:rsidRPr="00627B26">
        <w:t xml:space="preserve">-1: </w:t>
      </w:r>
      <w:r>
        <w:t xml:space="preserve">Default CPP Ex Post Load Impact Estimates for </w:t>
      </w:r>
      <w:r>
        <w:br/>
        <w:t>Persistent Customers by Event Day</w:t>
      </w:r>
      <w:r>
        <w:br/>
        <w:t>SDG&amp;E</w:t>
      </w:r>
      <w:r w:rsidRPr="00627B26">
        <w:t xml:space="preserve"> </w:t>
      </w:r>
      <w:r>
        <w:t xml:space="preserve">2013, 2014 </w:t>
      </w:r>
      <w:r w:rsidRPr="00627B26">
        <w:t>CPP Events</w:t>
      </w:r>
      <w:r>
        <w:t xml:space="preserve"> (11 AM</w:t>
      </w:r>
      <w:r w:rsidR="008D38B2">
        <w:t xml:space="preserve"> to </w:t>
      </w:r>
      <w:r>
        <w:t>6 PM)</w:t>
      </w:r>
    </w:p>
    <w:tbl>
      <w:tblPr>
        <w:tblW w:w="10681" w:type="dxa"/>
        <w:jc w:val="center"/>
        <w:tblInd w:w="93" w:type="dxa"/>
        <w:tblLook w:val="04A0" w:firstRow="1" w:lastRow="0" w:firstColumn="1" w:lastColumn="0" w:noHBand="0" w:noVBand="1"/>
      </w:tblPr>
      <w:tblGrid>
        <w:gridCol w:w="1017"/>
        <w:gridCol w:w="960"/>
        <w:gridCol w:w="1037"/>
        <w:gridCol w:w="1527"/>
        <w:gridCol w:w="1250"/>
        <w:gridCol w:w="797"/>
        <w:gridCol w:w="1107"/>
        <w:gridCol w:w="1096"/>
        <w:gridCol w:w="960"/>
        <w:gridCol w:w="960"/>
      </w:tblGrid>
      <w:tr w:rsidR="009A283D" w:rsidRPr="000322D1" w:rsidTr="00F0706F">
        <w:trPr>
          <w:trHeight w:val="960"/>
          <w:jc w:val="center"/>
        </w:trPr>
        <w:tc>
          <w:tcPr>
            <w:tcW w:w="1017"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Event Date</w:t>
            </w:r>
          </w:p>
        </w:tc>
        <w:tc>
          <w:tcPr>
            <w:tcW w:w="960"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Day of Week</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Accounts</w:t>
            </w:r>
          </w:p>
        </w:tc>
        <w:tc>
          <w:tcPr>
            <w:tcW w:w="1527"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Avg. Customer Reference Load</w:t>
            </w:r>
          </w:p>
        </w:tc>
        <w:tc>
          <w:tcPr>
            <w:tcW w:w="1250"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Avg. Customer Load w/ DR</w:t>
            </w:r>
          </w:p>
        </w:tc>
        <w:tc>
          <w:tcPr>
            <w:tcW w:w="767"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Impact</w:t>
            </w:r>
          </w:p>
        </w:tc>
        <w:tc>
          <w:tcPr>
            <w:tcW w:w="1107"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Aggregate Impact</w:t>
            </w:r>
          </w:p>
        </w:tc>
        <w:tc>
          <w:tcPr>
            <w:tcW w:w="1096"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 Reduction</w:t>
            </w:r>
          </w:p>
        </w:tc>
        <w:tc>
          <w:tcPr>
            <w:tcW w:w="960" w:type="dxa"/>
            <w:tcBorders>
              <w:top w:val="single" w:sz="4" w:space="0" w:color="auto"/>
              <w:left w:val="nil"/>
              <w:bottom w:val="single" w:sz="4" w:space="0" w:color="FFFFFF"/>
              <w:right w:val="single" w:sz="4" w:space="0" w:color="FFFFFF"/>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Avg. Event Temp.</w:t>
            </w:r>
          </w:p>
        </w:tc>
        <w:tc>
          <w:tcPr>
            <w:tcW w:w="960" w:type="dxa"/>
            <w:tcBorders>
              <w:top w:val="single" w:sz="4" w:space="0" w:color="auto"/>
              <w:left w:val="nil"/>
              <w:bottom w:val="single" w:sz="4" w:space="0" w:color="FFFFFF"/>
              <w:right w:val="single" w:sz="4" w:space="0" w:color="auto"/>
            </w:tcBorders>
            <w:shd w:val="clear" w:color="000000" w:fill="0070CD"/>
            <w:vAlign w:val="center"/>
            <w:hideMark/>
          </w:tcPr>
          <w:p w:rsidR="009A283D" w:rsidRPr="000322D1" w:rsidRDefault="009A283D" w:rsidP="006D677D">
            <w:pPr>
              <w:spacing w:after="0" w:line="240" w:lineRule="auto"/>
              <w:jc w:val="center"/>
              <w:rPr>
                <w:rFonts w:ascii="Arial" w:eastAsia="Times New Roman" w:hAnsi="Arial" w:cs="Arial"/>
                <w:b/>
                <w:bCs/>
                <w:color w:val="FFFFFF"/>
                <w:sz w:val="18"/>
                <w:szCs w:val="18"/>
              </w:rPr>
            </w:pPr>
            <w:r w:rsidRPr="000322D1">
              <w:rPr>
                <w:rFonts w:ascii="Arial" w:eastAsia="Times New Roman" w:hAnsi="Arial" w:cs="Arial"/>
                <w:b/>
                <w:bCs/>
                <w:color w:val="FFFFFF"/>
                <w:sz w:val="18"/>
                <w:szCs w:val="18"/>
              </w:rPr>
              <w:t>Daily Max. Temp.</w:t>
            </w:r>
          </w:p>
        </w:tc>
      </w:tr>
      <w:tr w:rsidR="009A283D" w:rsidRPr="000322D1" w:rsidTr="00F0706F">
        <w:trPr>
          <w:trHeight w:val="240"/>
          <w:jc w:val="center"/>
        </w:trPr>
        <w:tc>
          <w:tcPr>
            <w:tcW w:w="1017" w:type="dxa"/>
            <w:vMerge/>
            <w:tcBorders>
              <w:top w:val="single" w:sz="4" w:space="0" w:color="auto"/>
              <w:left w:val="single" w:sz="4" w:space="0" w:color="auto"/>
              <w:bottom w:val="single" w:sz="4" w:space="0" w:color="000000"/>
              <w:right w:val="single" w:sz="4" w:space="0" w:color="FFFFFF"/>
            </w:tcBorders>
            <w:vAlign w:val="center"/>
            <w:hideMark/>
          </w:tcPr>
          <w:p w:rsidR="009A283D" w:rsidRPr="000322D1" w:rsidRDefault="009A283D" w:rsidP="006D677D">
            <w:pPr>
              <w:spacing w:after="0" w:line="240" w:lineRule="auto"/>
              <w:rPr>
                <w:rFonts w:ascii="Arial" w:eastAsia="Times New Roman" w:hAnsi="Arial" w:cs="Arial"/>
                <w:b/>
                <w:bCs/>
                <w:color w:val="FFFFFF"/>
                <w:sz w:val="18"/>
                <w:szCs w:val="18"/>
              </w:rPr>
            </w:pPr>
          </w:p>
        </w:tc>
        <w:tc>
          <w:tcPr>
            <w:tcW w:w="960" w:type="dxa"/>
            <w:vMerge/>
            <w:tcBorders>
              <w:top w:val="single" w:sz="4" w:space="0" w:color="auto"/>
              <w:left w:val="single" w:sz="4" w:space="0" w:color="FFFFFF"/>
              <w:bottom w:val="single" w:sz="4" w:space="0" w:color="000000"/>
              <w:right w:val="single" w:sz="4" w:space="0" w:color="FFFFFF"/>
            </w:tcBorders>
            <w:vAlign w:val="center"/>
            <w:hideMark/>
          </w:tcPr>
          <w:p w:rsidR="009A283D" w:rsidRPr="000322D1" w:rsidRDefault="009A283D" w:rsidP="006D677D">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9A283D" w:rsidRPr="000322D1" w:rsidRDefault="009A283D" w:rsidP="006D677D">
            <w:pPr>
              <w:spacing w:after="0" w:line="240" w:lineRule="auto"/>
              <w:rPr>
                <w:rFonts w:ascii="Arial" w:eastAsia="Times New Roman" w:hAnsi="Arial" w:cs="Arial"/>
                <w:b/>
                <w:bCs/>
                <w:color w:val="FFFFFF"/>
                <w:sz w:val="18"/>
                <w:szCs w:val="18"/>
              </w:rPr>
            </w:pPr>
          </w:p>
        </w:tc>
        <w:tc>
          <w:tcPr>
            <w:tcW w:w="1527"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1250"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767"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(kW)</w:t>
            </w:r>
          </w:p>
        </w:tc>
        <w:tc>
          <w:tcPr>
            <w:tcW w:w="1107"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(MW)</w:t>
            </w:r>
          </w:p>
        </w:tc>
        <w:tc>
          <w:tcPr>
            <w:tcW w:w="1096"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w:t>
            </w:r>
          </w:p>
        </w:tc>
        <w:tc>
          <w:tcPr>
            <w:tcW w:w="960" w:type="dxa"/>
            <w:tcBorders>
              <w:top w:val="nil"/>
              <w:left w:val="nil"/>
              <w:bottom w:val="single" w:sz="4" w:space="0" w:color="auto"/>
              <w:right w:val="single" w:sz="4" w:space="0" w:color="FFFFFF"/>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c>
          <w:tcPr>
            <w:tcW w:w="960" w:type="dxa"/>
            <w:tcBorders>
              <w:top w:val="nil"/>
              <w:left w:val="nil"/>
              <w:bottom w:val="single" w:sz="4" w:space="0" w:color="auto"/>
              <w:right w:val="single" w:sz="4" w:space="0" w:color="auto"/>
            </w:tcBorders>
            <w:shd w:val="clear" w:color="000000" w:fill="0070CD"/>
            <w:noWrap/>
            <w:vAlign w:val="center"/>
            <w:hideMark/>
          </w:tcPr>
          <w:p w:rsidR="009A283D" w:rsidRPr="00F0706F" w:rsidRDefault="009A283D" w:rsidP="006D677D">
            <w:pPr>
              <w:spacing w:after="0" w:line="240" w:lineRule="auto"/>
              <w:jc w:val="center"/>
              <w:rPr>
                <w:rFonts w:ascii="Arial" w:eastAsia="Times New Roman" w:hAnsi="Arial" w:cs="Arial"/>
                <w:b/>
                <w:color w:val="FFFFFF"/>
                <w:sz w:val="18"/>
                <w:szCs w:val="18"/>
              </w:rPr>
            </w:pPr>
            <w:r w:rsidRPr="00F0706F">
              <w:rPr>
                <w:rFonts w:ascii="Arial" w:eastAsia="Times New Roman" w:hAnsi="Arial" w:cs="Arial"/>
                <w:b/>
                <w:color w:val="FFFFFF"/>
                <w:sz w:val="18"/>
                <w:szCs w:val="18"/>
              </w:rPr>
              <w:t>(°F)</w:t>
            </w:r>
          </w:p>
        </w:tc>
      </w:tr>
      <w:tr w:rsidR="009A283D" w:rsidRPr="000322D1" w:rsidTr="00F0706F">
        <w:trPr>
          <w:trHeight w:val="240"/>
          <w:jc w:val="center"/>
        </w:trPr>
        <w:tc>
          <w:tcPr>
            <w:tcW w:w="10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8/29/2013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Thu</w:t>
            </w:r>
          </w:p>
        </w:tc>
        <w:tc>
          <w:tcPr>
            <w:tcW w:w="1037" w:type="dxa"/>
            <w:tcBorders>
              <w:top w:val="single" w:sz="4" w:space="0" w:color="auto"/>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260.6</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244.9</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15.7</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16.0</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6.0%</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84.0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88.1</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9/4/2013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278.9</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253.5</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25.4</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26.0</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9.1%</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83.5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87.7</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9/5/2013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277.5</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251.9</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25.6</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26.1</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9.2%</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83.6</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86.6</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9/6/2013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275.4</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249.2</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26.3</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26.8</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84.8</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91.1</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2/7/2014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Fri</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185.1</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173.3</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11.8</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12.0</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6.4%</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61.3</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62.9</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5/15/2014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251.8</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228.0</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23.8</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24.3</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93.4</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98.0</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7/31/2014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Thu</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256.5</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229.3</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27.3</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27.8</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10.6%</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79.2</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82.9</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9/15/2014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Mon</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291.3</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266.6</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24.6</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25.1</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8.5%</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86.2</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91.3</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9/16/2014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Tue</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294.8</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271.0</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23.9</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24.3</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8.1%</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91.0</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95.6</w:t>
            </w:r>
          </w:p>
        </w:tc>
      </w:tr>
      <w:tr w:rsidR="009A283D" w:rsidRPr="000322D1" w:rsidTr="00F0706F">
        <w:trPr>
          <w:trHeight w:val="240"/>
          <w:jc w:val="center"/>
        </w:trPr>
        <w:tc>
          <w:tcPr>
            <w:tcW w:w="1017" w:type="dxa"/>
            <w:tcBorders>
              <w:top w:val="nil"/>
              <w:left w:val="single" w:sz="4" w:space="0" w:color="auto"/>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9/17/2014</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0322D1" w:rsidRDefault="009A283D" w:rsidP="006D677D">
            <w:pPr>
              <w:spacing w:after="0" w:line="240" w:lineRule="auto"/>
              <w:jc w:val="center"/>
              <w:rPr>
                <w:rFonts w:ascii="Arial" w:eastAsia="Times New Roman" w:hAnsi="Arial" w:cs="Arial"/>
                <w:sz w:val="18"/>
                <w:szCs w:val="18"/>
              </w:rPr>
            </w:pPr>
            <w:r w:rsidRPr="000322D1">
              <w:rPr>
                <w:rFonts w:ascii="Arial" w:eastAsia="Times New Roman" w:hAnsi="Arial" w:cs="Arial"/>
                <w:sz w:val="18"/>
                <w:szCs w:val="18"/>
              </w:rPr>
              <w:t>Wed</w:t>
            </w:r>
          </w:p>
        </w:tc>
        <w:tc>
          <w:tcPr>
            <w:tcW w:w="103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1,020</w:t>
            </w:r>
          </w:p>
        </w:tc>
        <w:tc>
          <w:tcPr>
            <w:tcW w:w="152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287.0</w:t>
            </w:r>
          </w:p>
        </w:tc>
        <w:tc>
          <w:tcPr>
            <w:tcW w:w="125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263.7</w:t>
            </w:r>
          </w:p>
        </w:tc>
        <w:tc>
          <w:tcPr>
            <w:tcW w:w="76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23.3</w:t>
            </w:r>
          </w:p>
        </w:tc>
        <w:tc>
          <w:tcPr>
            <w:tcW w:w="1107"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23.8</w:t>
            </w:r>
          </w:p>
        </w:tc>
        <w:tc>
          <w:tcPr>
            <w:tcW w:w="1096"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8.1%</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82.7</w:t>
            </w:r>
          </w:p>
        </w:tc>
        <w:tc>
          <w:tcPr>
            <w:tcW w:w="960" w:type="dxa"/>
            <w:tcBorders>
              <w:top w:val="nil"/>
              <w:left w:val="nil"/>
              <w:bottom w:val="single" w:sz="4" w:space="0" w:color="auto"/>
              <w:right w:val="single" w:sz="4" w:space="0" w:color="auto"/>
            </w:tcBorders>
            <w:shd w:val="clear" w:color="auto" w:fill="auto"/>
            <w:noWrap/>
            <w:vAlign w:val="bottom"/>
            <w:hideMark/>
          </w:tcPr>
          <w:p w:rsidR="009A283D" w:rsidRPr="000322D1" w:rsidRDefault="009A283D" w:rsidP="006D677D">
            <w:pPr>
              <w:spacing w:after="0" w:line="240" w:lineRule="auto"/>
              <w:jc w:val="center"/>
              <w:rPr>
                <w:rFonts w:ascii="Arial" w:eastAsia="Times New Roman" w:hAnsi="Arial" w:cs="Arial"/>
                <w:color w:val="000000"/>
                <w:sz w:val="18"/>
                <w:szCs w:val="18"/>
              </w:rPr>
            </w:pPr>
            <w:r w:rsidRPr="000322D1">
              <w:rPr>
                <w:rFonts w:ascii="Arial" w:eastAsia="Times New Roman" w:hAnsi="Arial" w:cs="Arial"/>
                <w:color w:val="000000"/>
                <w:sz w:val="18"/>
                <w:szCs w:val="18"/>
              </w:rPr>
              <w:t>92.1</w:t>
            </w:r>
          </w:p>
        </w:tc>
      </w:tr>
    </w:tbl>
    <w:p w:rsidR="009A283D" w:rsidRDefault="009A283D" w:rsidP="009A283D">
      <w:pPr>
        <w:pStyle w:val="BodyParagraph"/>
      </w:pPr>
    </w:p>
    <w:p w:rsidR="009A283D" w:rsidRDefault="009A283D" w:rsidP="009A283D">
      <w:pPr>
        <w:pStyle w:val="BodyParagraph"/>
      </w:pPr>
      <w:r w:rsidRPr="00211B4A">
        <w:t xml:space="preserve">Figure </w:t>
      </w:r>
      <w:r>
        <w:t xml:space="preserve">9-1 presents the ex post </w:t>
      </w:r>
      <w:r w:rsidRPr="00211B4A">
        <w:t>load impact</w:t>
      </w:r>
      <w:r>
        <w:t xml:space="preserve"> estimates</w:t>
      </w:r>
      <w:r w:rsidRPr="00211B4A">
        <w:t xml:space="preserve"> for </w:t>
      </w:r>
      <w:r>
        <w:t>the persistent customers alongside those for all ex</w:t>
      </w:r>
      <w:r w:rsidR="008D38B2">
        <w:t xml:space="preserve"> </w:t>
      </w:r>
      <w:r>
        <w:t>post customers</w:t>
      </w:r>
      <w:proofErr w:type="gramStart"/>
      <w:r>
        <w:t xml:space="preserve">. </w:t>
      </w:r>
      <w:r w:rsidR="008D38B2">
        <w:t xml:space="preserve"> </w:t>
      </w:r>
      <w:proofErr w:type="gramEnd"/>
      <w:r>
        <w:t>The impacts are plotted as a function of temperature and the linear fit is displayed for each customer group.</w:t>
      </w:r>
    </w:p>
    <w:p w:rsidR="009A283D" w:rsidRPr="00C61A46" w:rsidRDefault="009A283D" w:rsidP="009A283D">
      <w:pPr>
        <w:pStyle w:val="TableFigureCaption"/>
      </w:pPr>
      <w:r w:rsidRPr="00FF77C1">
        <w:lastRenderedPageBreak/>
        <w:t xml:space="preserve">Figure </w:t>
      </w:r>
      <w:r>
        <w:t>9</w:t>
      </w:r>
      <w:r w:rsidRPr="00FF77C1">
        <w:t>-</w:t>
      </w:r>
      <w:r>
        <w:t>1: Comparison of 2013–2014 CPP Load Impacts for Persistent</w:t>
      </w:r>
      <w:r w:rsidRPr="00FF77C1">
        <w:t xml:space="preserve"> </w:t>
      </w:r>
      <w:r>
        <w:t>and All Ex</w:t>
      </w:r>
      <w:r w:rsidR="008D38B2">
        <w:t xml:space="preserve"> </w:t>
      </w:r>
      <w:r>
        <w:t>Post Customers vs. Temperature</w:t>
      </w:r>
    </w:p>
    <w:p w:rsidR="009A283D" w:rsidRDefault="009A283D" w:rsidP="009A283D">
      <w:pPr>
        <w:pStyle w:val="BodyParagraph"/>
      </w:pPr>
      <w:r>
        <w:rPr>
          <w:noProof/>
        </w:rPr>
        <w:drawing>
          <wp:inline distT="0" distB="0" distL="0" distR="0" wp14:anchorId="755EC682" wp14:editId="4FF25E0A">
            <wp:extent cx="5943600" cy="4320540"/>
            <wp:effectExtent l="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Pr="00476F85" w:rsidRDefault="009A283D" w:rsidP="009A283D">
      <w:pPr>
        <w:pStyle w:val="BodyParagraph"/>
      </w:pPr>
      <w:r>
        <w:t xml:space="preserve">Figure 9-2 compares loads for all ex post customers during non-event days in 2014 to the reference loads for the </w:t>
      </w:r>
      <w:proofErr w:type="spellStart"/>
      <w:r>
        <w:t>ex ante</w:t>
      </w:r>
      <w:proofErr w:type="spellEnd"/>
      <w:r>
        <w:t xml:space="preserve"> customers used for reference load modeling</w:t>
      </w:r>
      <w:proofErr w:type="gramStart"/>
      <w:r>
        <w:t xml:space="preserve">.  </w:t>
      </w:r>
      <w:proofErr w:type="gramEnd"/>
      <w:r>
        <w:t xml:space="preserve">The </w:t>
      </w:r>
      <w:proofErr w:type="spellStart"/>
      <w:r>
        <w:t>ex ante</w:t>
      </w:r>
      <w:proofErr w:type="spellEnd"/>
      <w:r>
        <w:t xml:space="preserve"> customers used for reference load modeling are simply the ex post customers with the restriction that customers must have a full panel of interval data for the year</w:t>
      </w:r>
      <w:proofErr w:type="gramStart"/>
      <w:r>
        <w:t xml:space="preserve">.  </w:t>
      </w:r>
      <w:proofErr w:type="gramEnd"/>
      <w:r>
        <w:t xml:space="preserve">The reference loads from non-event days </w:t>
      </w:r>
      <w:r w:rsidR="008D38B2">
        <w:t xml:space="preserve">from </w:t>
      </w:r>
      <w:r>
        <w:t>May t</w:t>
      </w:r>
      <w:r w:rsidR="008D38B2">
        <w:t>hr</w:t>
      </w:r>
      <w:r>
        <w:t>o</w:t>
      </w:r>
      <w:r w:rsidR="008D38B2">
        <w:t>ugh</w:t>
      </w:r>
      <w:r>
        <w:t xml:space="preserve"> October are included in the graph (</w:t>
      </w:r>
      <w:r w:rsidR="008D38B2">
        <w:t>w</w:t>
      </w:r>
      <w:r>
        <w:t>eekends and</w:t>
      </w:r>
      <w:r w:rsidR="008D38B2">
        <w:t> </w:t>
      </w:r>
      <w:r>
        <w:t>holidays are also excluded)</w:t>
      </w:r>
      <w:proofErr w:type="gramStart"/>
      <w:r w:rsidR="008D38B2">
        <w:t>.</w:t>
      </w:r>
      <w:r>
        <w:t xml:space="preserve">  </w:t>
      </w:r>
      <w:proofErr w:type="gramEnd"/>
      <w:r>
        <w:t>The average reference load is slightly higher for ex</w:t>
      </w:r>
      <w:r w:rsidR="008D38B2">
        <w:t xml:space="preserve"> </w:t>
      </w:r>
      <w:r>
        <w:t>ante customers than for the ex</w:t>
      </w:r>
      <w:r w:rsidR="008D38B2">
        <w:t xml:space="preserve"> </w:t>
      </w:r>
      <w:proofErr w:type="gramStart"/>
      <w:r>
        <w:t>post customers for the same days and weather conditions, but the difference is</w:t>
      </w:r>
      <w:proofErr w:type="gramEnd"/>
      <w:r>
        <w:t xml:space="preserve"> very small. </w:t>
      </w:r>
    </w:p>
    <w:p w:rsidR="009A283D" w:rsidRDefault="009A283D" w:rsidP="009A283D">
      <w:pPr>
        <w:pStyle w:val="TableFigureCaption"/>
      </w:pPr>
      <w:r>
        <w:lastRenderedPageBreak/>
        <w:t>Figure 9</w:t>
      </w:r>
      <w:r w:rsidRPr="00FF77C1">
        <w:t>-</w:t>
      </w:r>
      <w:r>
        <w:t>2: Comparison of Reference Loads on Non-event Days for Ex</w:t>
      </w:r>
      <w:r w:rsidR="008D38B2">
        <w:t xml:space="preserve"> </w:t>
      </w:r>
      <w:r>
        <w:t xml:space="preserve">Ante Customers to All </w:t>
      </w:r>
      <w:proofErr w:type="gramStart"/>
      <w:r>
        <w:t>Ex</w:t>
      </w:r>
      <w:proofErr w:type="gramEnd"/>
      <w:r w:rsidR="008D38B2">
        <w:t xml:space="preserve"> </w:t>
      </w:r>
      <w:r>
        <w:t>Post Customers’ Reference Loads</w:t>
      </w:r>
    </w:p>
    <w:p w:rsidR="009A283D" w:rsidRDefault="009A283D" w:rsidP="009A283D">
      <w:pPr>
        <w:pStyle w:val="BodyParagraph"/>
        <w:jc w:val="center"/>
      </w:pPr>
      <w:r>
        <w:rPr>
          <w:noProof/>
        </w:rPr>
        <w:drawing>
          <wp:inline distT="0" distB="0" distL="0" distR="0" wp14:anchorId="200E865E" wp14:editId="68458ABB">
            <wp:extent cx="5943600" cy="4320540"/>
            <wp:effectExtent l="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Default="009A283D" w:rsidP="009A283D">
      <w:pPr>
        <w:pStyle w:val="BodyParagraph"/>
      </w:pPr>
      <w:r>
        <w:t>Figure 9-3 illustrates the historical 2013</w:t>
      </w:r>
      <w:r w:rsidR="008D38B2">
        <w:rPr>
          <w:rFonts w:cs="Arial"/>
        </w:rPr>
        <w:t>–</w:t>
      </w:r>
      <w:r>
        <w:t>2014 percent reductions as a function of temperature (blue circles)</w:t>
      </w:r>
      <w:proofErr w:type="gramStart"/>
      <w:r>
        <w:t xml:space="preserve">.  </w:t>
      </w:r>
      <w:proofErr w:type="gramEnd"/>
      <w:r>
        <w:t xml:space="preserve">It also includes the percent demand reductions estimated under 1-in-2 and </w:t>
      </w:r>
      <w:r w:rsidR="008D38B2">
        <w:br/>
      </w:r>
      <w:r>
        <w:t xml:space="preserve">1-in-10 year weather conditions (green squares) for </w:t>
      </w:r>
      <w:r w:rsidRPr="00225116">
        <w:t>the months of May t</w:t>
      </w:r>
      <w:r w:rsidR="008D38B2">
        <w:t>hr</w:t>
      </w:r>
      <w:r w:rsidRPr="00225116">
        <w:t>o</w:t>
      </w:r>
      <w:r w:rsidR="008D38B2">
        <w:t>ugh</w:t>
      </w:r>
      <w:r w:rsidRPr="00225116">
        <w:t xml:space="preserve"> October</w:t>
      </w:r>
      <w:r>
        <w:t xml:space="preserve"> based on the SDG&amp;E weather scenarios (not the CAISO weather)</w:t>
      </w:r>
      <w:proofErr w:type="gramStart"/>
      <w:r w:rsidRPr="00225116">
        <w:t xml:space="preserve">.  </w:t>
      </w:r>
      <w:proofErr w:type="gramEnd"/>
      <w:r>
        <w:t>Estimates of CPP percentage load</w:t>
      </w:r>
      <w:r w:rsidR="008D38B2">
        <w:t> </w:t>
      </w:r>
      <w:r>
        <w:t>impacts, based on the history of load impacts in 2013 and 2014, are shown to increase as</w:t>
      </w:r>
      <w:r w:rsidR="008D38B2">
        <w:t> </w:t>
      </w:r>
      <w:r>
        <w:t>temperatures increase</w:t>
      </w:r>
      <w:proofErr w:type="gramStart"/>
      <w:r>
        <w:t xml:space="preserve">.  </w:t>
      </w:r>
      <w:proofErr w:type="gramEnd"/>
      <w:r w:rsidRPr="00225116">
        <w:t>These percent demand reductions estimates were applied to large</w:t>
      </w:r>
      <w:r w:rsidR="008D38B2">
        <w:t> </w:t>
      </w:r>
      <w:r w:rsidRPr="00225116">
        <w:t>customers.</w:t>
      </w:r>
    </w:p>
    <w:p w:rsidR="009A283D" w:rsidRDefault="009A283D" w:rsidP="009A283D">
      <w:pPr>
        <w:pStyle w:val="BodyParagraph"/>
      </w:pPr>
      <w:r>
        <w:t>Figure 9-4 compares the customer</w:t>
      </w:r>
      <w:r w:rsidR="006D677D">
        <w:t xml:space="preserve"> reference</w:t>
      </w:r>
      <w:r>
        <w:t xml:space="preserve"> loads during non-event days to the </w:t>
      </w:r>
      <w:proofErr w:type="spellStart"/>
      <w:r>
        <w:t>ex ante</w:t>
      </w:r>
      <w:proofErr w:type="spellEnd"/>
      <w:r>
        <w:t xml:space="preserve"> reference loads (blue circles)</w:t>
      </w:r>
      <w:proofErr w:type="gramStart"/>
      <w:r>
        <w:t xml:space="preserve">. </w:t>
      </w:r>
      <w:r w:rsidR="008D38B2">
        <w:t xml:space="preserve"> </w:t>
      </w:r>
      <w:proofErr w:type="gramEnd"/>
      <w:r>
        <w:t>The 1-in-2 and 1-in-10 reference loads from May t</w:t>
      </w:r>
      <w:r w:rsidR="008D38B2">
        <w:t>hr</w:t>
      </w:r>
      <w:r>
        <w:t>o</w:t>
      </w:r>
      <w:r w:rsidR="008D38B2">
        <w:t>ugh</w:t>
      </w:r>
      <w:r>
        <w:t xml:space="preserve"> October are included in the graph (green squares)</w:t>
      </w:r>
      <w:proofErr w:type="gramStart"/>
      <w:r>
        <w:t xml:space="preserve">.  </w:t>
      </w:r>
      <w:proofErr w:type="gramEnd"/>
      <w:r>
        <w:t>Ex post reference loads are seen to increase with temperature and ex ante reference loads follow the weather trend observed during</w:t>
      </w:r>
      <w:r w:rsidR="008D38B2">
        <w:t> </w:t>
      </w:r>
      <w:r>
        <w:t xml:space="preserve">non-event days.  </w:t>
      </w:r>
    </w:p>
    <w:p w:rsidR="009A283D" w:rsidRDefault="009A283D" w:rsidP="009A283D">
      <w:pPr>
        <w:pStyle w:val="TableFigureCaption"/>
      </w:pPr>
      <w:r>
        <w:lastRenderedPageBreak/>
        <w:t>Figure 9-3: Comparison of 2013</w:t>
      </w:r>
      <w:r w:rsidR="002E1065">
        <w:rPr>
          <w:rFonts w:cs="Arial"/>
        </w:rPr>
        <w:t>–</w:t>
      </w:r>
      <w:r>
        <w:t>2014</w:t>
      </w:r>
      <w:r w:rsidRPr="00347199">
        <w:t xml:space="preserve"> CPP Load Impacts </w:t>
      </w:r>
      <w:r w:rsidR="006D677D">
        <w:t xml:space="preserve">and </w:t>
      </w:r>
      <w:r w:rsidRPr="00347199">
        <w:t>Summer Ex Ante Load Impacts vs. Temperature by Industry</w:t>
      </w:r>
    </w:p>
    <w:p w:rsidR="009A283D" w:rsidRDefault="009A283D" w:rsidP="009A283D">
      <w:pPr>
        <w:pStyle w:val="BodyParagraph"/>
        <w:jc w:val="center"/>
        <w:rPr>
          <w:noProof/>
        </w:rPr>
      </w:pPr>
      <w:r>
        <w:rPr>
          <w:noProof/>
        </w:rPr>
        <w:drawing>
          <wp:inline distT="0" distB="0" distL="0" distR="0" wp14:anchorId="4EE805D1" wp14:editId="3634139E">
            <wp:extent cx="5943600" cy="4320540"/>
            <wp:effectExtent l="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Default="009A283D" w:rsidP="009A283D">
      <w:pPr>
        <w:pStyle w:val="TableFigureCaption"/>
      </w:pPr>
      <w:r>
        <w:lastRenderedPageBreak/>
        <w:t>Figure 9-4</w:t>
      </w:r>
      <w:r w:rsidRPr="00225116">
        <w:t>: Comparison of Ex post Loads on Non-Event Days to Ex Ante Reference Loads for Large C&amp;I</w:t>
      </w:r>
    </w:p>
    <w:bookmarkEnd w:id="256"/>
    <w:bookmarkEnd w:id="257"/>
    <w:bookmarkEnd w:id="258"/>
    <w:p w:rsidR="009A283D" w:rsidRPr="00345A3E" w:rsidRDefault="009A283D" w:rsidP="009A283D">
      <w:pPr>
        <w:pStyle w:val="BodyParagraph"/>
        <w:rPr>
          <w:b/>
        </w:rPr>
      </w:pPr>
      <w:r>
        <w:rPr>
          <w:noProof/>
        </w:rPr>
        <w:drawing>
          <wp:inline distT="0" distB="0" distL="0" distR="0" wp14:anchorId="06E1756F" wp14:editId="1262DF6B">
            <wp:extent cx="5943600" cy="4320540"/>
            <wp:effectExtent l="0" t="0" r="0" b="0"/>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943600" cy="4320540"/>
                    </a:xfrm>
                    <a:prstGeom prst="rect">
                      <a:avLst/>
                    </a:prstGeom>
                    <a:noFill/>
                    <a:extLst/>
                  </pic:spPr>
                </pic:pic>
              </a:graphicData>
            </a:graphic>
          </wp:inline>
        </w:drawing>
      </w:r>
    </w:p>
    <w:p w:rsidR="009A283D" w:rsidRDefault="009A283D" w:rsidP="009A283D">
      <w:pPr>
        <w:pStyle w:val="BodyParagraph"/>
      </w:pPr>
      <w:r>
        <w:t>Table 9-2 shows SDG&amp;E’s enrollment projections for large C&amp;I CPP customers through 2025</w:t>
      </w:r>
      <w:proofErr w:type="gramStart"/>
      <w:r>
        <w:t xml:space="preserve">.  </w:t>
      </w:r>
      <w:proofErr w:type="gramEnd"/>
      <w:r>
        <w:t xml:space="preserve">Overall, </w:t>
      </w:r>
      <w:r w:rsidRPr="00133E49">
        <w:t>1,</w:t>
      </w:r>
      <w:r>
        <w:t>142 l</w:t>
      </w:r>
      <w:r w:rsidRPr="005F4F90">
        <w:t>arge customers</w:t>
      </w:r>
      <w:r>
        <w:t xml:space="preserve"> were enrolled in default CPP in 2014.</w:t>
      </w:r>
      <w:r>
        <w:rPr>
          <w:rStyle w:val="FootnoteReference"/>
        </w:rPr>
        <w:footnoteReference w:id="31"/>
      </w:r>
      <w:proofErr w:type="gramStart"/>
      <w:r>
        <w:t xml:space="preserve">  </w:t>
      </w:r>
      <w:proofErr w:type="gramEnd"/>
      <w:r>
        <w:t>The forecasted year-to-year change in enrollment is minimal and simply reflects the expected growth of SDG&amp;E’s large customer population</w:t>
      </w:r>
      <w:proofErr w:type="gramStart"/>
      <w:r>
        <w:t xml:space="preserve">.  </w:t>
      </w:r>
      <w:proofErr w:type="gramEnd"/>
      <w:r>
        <w:t xml:space="preserve">Years 2017 through 2024 are </w:t>
      </w:r>
      <w:r w:rsidR="00A8674E">
        <w:t xml:space="preserve">not shown below </w:t>
      </w:r>
      <w:r>
        <w:t>as enrollment in these years follows a similar trend to that which occurs throughout 2015 and 2016.</w:t>
      </w:r>
      <w:r>
        <w:br w:type="page"/>
      </w:r>
    </w:p>
    <w:p w:rsidR="009A283D" w:rsidRPr="0061265C" w:rsidRDefault="009A283D" w:rsidP="009A283D">
      <w:pPr>
        <w:pStyle w:val="TableFigureCaption"/>
      </w:pPr>
      <w:r w:rsidRPr="0061265C">
        <w:lastRenderedPageBreak/>
        <w:t>Table 9-</w:t>
      </w:r>
      <w:r>
        <w:t>2</w:t>
      </w:r>
      <w:r w:rsidRPr="0061265C">
        <w:t xml:space="preserve">: SDG&amp;E Enrollment Projections for Large </w:t>
      </w:r>
      <w:proofErr w:type="gramStart"/>
      <w:r w:rsidRPr="0061265C">
        <w:t>C&amp;I CPP Customers</w:t>
      </w:r>
      <w:r>
        <w:br/>
      </w:r>
      <w:r w:rsidRPr="0061265C">
        <w:t>by</w:t>
      </w:r>
      <w:proofErr w:type="gramEnd"/>
      <w:r w:rsidRPr="0061265C">
        <w:t xml:space="preserve"> Forecast Year and Month</w:t>
      </w:r>
    </w:p>
    <w:tbl>
      <w:tblPr>
        <w:tblW w:w="8540" w:type="dxa"/>
        <w:jc w:val="center"/>
        <w:tblLook w:val="04A0" w:firstRow="1" w:lastRow="0" w:firstColumn="1" w:lastColumn="0" w:noHBand="0" w:noVBand="1"/>
      </w:tblPr>
      <w:tblGrid>
        <w:gridCol w:w="661"/>
        <w:gridCol w:w="717"/>
        <w:gridCol w:w="717"/>
        <w:gridCol w:w="717"/>
        <w:gridCol w:w="717"/>
        <w:gridCol w:w="717"/>
        <w:gridCol w:w="717"/>
        <w:gridCol w:w="717"/>
        <w:gridCol w:w="717"/>
        <w:gridCol w:w="717"/>
        <w:gridCol w:w="717"/>
        <w:gridCol w:w="717"/>
        <w:gridCol w:w="717"/>
      </w:tblGrid>
      <w:tr w:rsidR="008028DC" w:rsidRPr="00345A3E" w:rsidTr="008028DC">
        <w:trPr>
          <w:trHeight w:val="359"/>
          <w:jc w:val="center"/>
        </w:trPr>
        <w:tc>
          <w:tcPr>
            <w:tcW w:w="620" w:type="dxa"/>
            <w:tcBorders>
              <w:top w:val="single" w:sz="4" w:space="0" w:color="000000"/>
              <w:left w:val="single" w:sz="4" w:space="0" w:color="000000"/>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Year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Jan.</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Feb.</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Mar.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Apr.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May</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Jun.</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Jul.</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Aug.</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Sep.</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Oct.</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Nov.</w:t>
            </w:r>
          </w:p>
        </w:tc>
        <w:tc>
          <w:tcPr>
            <w:tcW w:w="660" w:type="dxa"/>
            <w:tcBorders>
              <w:top w:val="single" w:sz="4" w:space="0" w:color="000000"/>
              <w:left w:val="nil"/>
              <w:bottom w:val="single" w:sz="4" w:space="0" w:color="000000"/>
              <w:right w:val="single" w:sz="4" w:space="0" w:color="000000"/>
            </w:tcBorders>
            <w:shd w:val="clear" w:color="000000" w:fill="0070CD"/>
            <w:noWrap/>
            <w:vAlign w:val="center"/>
            <w:hideMark/>
          </w:tcPr>
          <w:p w:rsidR="009A283D" w:rsidRPr="00345A3E" w:rsidRDefault="009A283D" w:rsidP="006D677D">
            <w:pPr>
              <w:spacing w:after="0" w:line="240" w:lineRule="auto"/>
              <w:jc w:val="center"/>
              <w:rPr>
                <w:rFonts w:ascii="Arial" w:eastAsia="Times New Roman" w:hAnsi="Arial" w:cs="Arial"/>
                <w:b/>
                <w:bCs/>
                <w:color w:val="FFFFFF"/>
                <w:sz w:val="20"/>
                <w:szCs w:val="20"/>
              </w:rPr>
            </w:pPr>
            <w:r w:rsidRPr="00345A3E">
              <w:rPr>
                <w:rFonts w:ascii="Arial" w:eastAsia="Times New Roman" w:hAnsi="Arial" w:cs="Arial"/>
                <w:b/>
                <w:bCs/>
                <w:color w:val="FFFFFF"/>
                <w:sz w:val="20"/>
                <w:szCs w:val="20"/>
              </w:rPr>
              <w:t>Dec.</w:t>
            </w:r>
          </w:p>
        </w:tc>
      </w:tr>
      <w:tr w:rsidR="009A283D" w:rsidRPr="00345A3E" w:rsidTr="008028DC">
        <w:trPr>
          <w:trHeight w:val="350"/>
          <w:jc w:val="center"/>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2015</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1,251</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1,251</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1,253</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1,253</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1,253</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1,254</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1,254</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1,254</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1,255</w:t>
            </w:r>
          </w:p>
        </w:tc>
      </w:tr>
      <w:tr w:rsidR="009A283D" w:rsidRPr="00345A3E" w:rsidTr="008028DC">
        <w:trPr>
          <w:trHeight w:val="341"/>
          <w:jc w:val="center"/>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2016</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1,256</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1,258</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1,259</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1,261</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1,264</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1,265</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1,267</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1,268</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1,270</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1,272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1,273</w:t>
            </w:r>
          </w:p>
        </w:tc>
      </w:tr>
      <w:tr w:rsidR="009A283D" w:rsidRPr="00345A3E" w:rsidTr="008028DC">
        <w:trPr>
          <w:trHeight w:val="359"/>
          <w:jc w:val="center"/>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2025</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1,396</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1,397</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1,398</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1,400</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1,401</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1,402</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1,404</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1,405</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1,406</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1,408</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1,409</w:t>
            </w:r>
          </w:p>
        </w:tc>
        <w:tc>
          <w:tcPr>
            <w:tcW w:w="660" w:type="dxa"/>
            <w:tcBorders>
              <w:top w:val="nil"/>
              <w:left w:val="nil"/>
              <w:bottom w:val="single" w:sz="4" w:space="0" w:color="000000"/>
              <w:right w:val="single" w:sz="4" w:space="0" w:color="000000"/>
            </w:tcBorders>
            <w:shd w:val="clear" w:color="auto" w:fill="auto"/>
            <w:noWrap/>
            <w:vAlign w:val="center"/>
            <w:hideMark/>
          </w:tcPr>
          <w:p w:rsidR="009A283D" w:rsidRPr="00345A3E" w:rsidRDefault="009A283D" w:rsidP="006D677D">
            <w:pPr>
              <w:spacing w:after="0" w:line="240" w:lineRule="auto"/>
              <w:jc w:val="center"/>
              <w:rPr>
                <w:rFonts w:ascii="Arial" w:eastAsia="Times New Roman" w:hAnsi="Arial" w:cs="Arial"/>
                <w:color w:val="000000"/>
                <w:sz w:val="20"/>
                <w:szCs w:val="20"/>
              </w:rPr>
            </w:pPr>
            <w:r w:rsidRPr="00345A3E">
              <w:rPr>
                <w:rFonts w:ascii="Arial" w:eastAsia="Times New Roman" w:hAnsi="Arial" w:cs="Arial"/>
                <w:color w:val="000000"/>
                <w:sz w:val="20"/>
                <w:szCs w:val="20"/>
              </w:rPr>
              <w:t>1,410</w:t>
            </w:r>
          </w:p>
        </w:tc>
      </w:tr>
    </w:tbl>
    <w:p w:rsidR="009A283D" w:rsidRDefault="009A283D" w:rsidP="009A283D">
      <w:pPr>
        <w:pStyle w:val="BodyParagraph"/>
      </w:pPr>
    </w:p>
    <w:p w:rsidR="009A283D" w:rsidRDefault="00A8674E" w:rsidP="00A945AF">
      <w:pPr>
        <w:pStyle w:val="Heading3"/>
      </w:pPr>
      <w:bookmarkStart w:id="259" w:name="_Toc412650631"/>
      <w:bookmarkStart w:id="260" w:name="_Toc415494810"/>
      <w:r>
        <w:t>Monthly</w:t>
      </w:r>
      <w:r w:rsidR="009A283D">
        <w:t xml:space="preserve"> System Peak Day Impacts</w:t>
      </w:r>
      <w:bookmarkEnd w:id="259"/>
      <w:bookmarkEnd w:id="260"/>
    </w:p>
    <w:p w:rsidR="009A283D" w:rsidRDefault="009A283D" w:rsidP="009A283D">
      <w:pPr>
        <w:pStyle w:val="BodyParagraph"/>
      </w:pPr>
      <w:r>
        <w:t>Table 9-3 summarizes the aggregate load impact estimates for large customers on SDG&amp;E’s CPP tariff for each forecast year under both 1-in-2 and 1-in-10 year weather scenarios based on</w:t>
      </w:r>
      <w:r w:rsidR="002E1065">
        <w:t> </w:t>
      </w:r>
      <w:r>
        <w:t>both SDG&amp;E and CAISO weather scenarios</w:t>
      </w:r>
      <w:proofErr w:type="gramStart"/>
      <w:r>
        <w:t xml:space="preserve">.  </w:t>
      </w:r>
      <w:proofErr w:type="gramEnd"/>
      <w:r>
        <w:t xml:space="preserve">The table shows the average load reduction across the 11 AM to 6 PM event period for an August monthly system peak day.  </w:t>
      </w:r>
    </w:p>
    <w:p w:rsidR="009A283D" w:rsidRDefault="009A283D" w:rsidP="009A283D">
      <w:pPr>
        <w:pStyle w:val="BodyParagraph"/>
      </w:pPr>
      <w:r>
        <w:t xml:space="preserve">Looking first at the aggregate load impacts based on normal, SDG&amp;E-specific 1-in-2 year weather conditions, load reductions </w:t>
      </w:r>
      <w:r w:rsidR="002E1065">
        <w:t xml:space="preserve">will </w:t>
      </w:r>
      <w:r>
        <w:t>grow from roughly 25 MW to 28 MW between 2015 and 2025</w:t>
      </w:r>
      <w:proofErr w:type="gramStart"/>
      <w:r>
        <w:t xml:space="preserve">.  </w:t>
      </w:r>
      <w:proofErr w:type="gramEnd"/>
      <w:r>
        <w:t xml:space="preserve">Impacts based on 1-in-10 year SDG&amp;E weather conditions equal roughly 27 MW in 2015 and </w:t>
      </w:r>
      <w:r w:rsidR="002E1065">
        <w:t xml:space="preserve">will </w:t>
      </w:r>
      <w:r>
        <w:t>grow to 30 MW by 2025</w:t>
      </w:r>
      <w:proofErr w:type="gramStart"/>
      <w:r>
        <w:t xml:space="preserve">.  </w:t>
      </w:r>
      <w:proofErr w:type="gramEnd"/>
      <w:r>
        <w:t>These estimates equal roughly 8% of the aggregate reference load for large C&amp;I customers</w:t>
      </w:r>
      <w:proofErr w:type="gramStart"/>
      <w:r>
        <w:t xml:space="preserve">.  </w:t>
      </w:r>
      <w:proofErr w:type="gramEnd"/>
      <w:r>
        <w:t>Impacts estimates based on CAISO weather 1-in-2 year weather conditions are roughly 2% larger than the estimates based on SDG&amp;E weather</w:t>
      </w:r>
      <w:proofErr w:type="gramStart"/>
      <w:r>
        <w:t xml:space="preserve">.  </w:t>
      </w:r>
      <w:proofErr w:type="gramEnd"/>
      <w:r>
        <w:t>The CAISO 1-in-10 year weather values produce a load reduction that is about 5% less than the 1-in-10 year SDG&amp;E estimates.</w:t>
      </w:r>
      <w:r>
        <w:br w:type="page"/>
      </w:r>
    </w:p>
    <w:p w:rsidR="009A283D" w:rsidRDefault="009A283D" w:rsidP="009A283D">
      <w:pPr>
        <w:pStyle w:val="TableFigureCaption"/>
      </w:pPr>
      <w:r>
        <w:lastRenderedPageBreak/>
        <w:t xml:space="preserve">Table 9-3: Default CPP </w:t>
      </w:r>
      <w:proofErr w:type="gramStart"/>
      <w:r w:rsidRPr="00D963CC">
        <w:t>Ex</w:t>
      </w:r>
      <w:proofErr w:type="gramEnd"/>
      <w:r w:rsidRPr="00D963CC">
        <w:t xml:space="preserve"> </w:t>
      </w:r>
      <w:r>
        <w:t>Ante</w:t>
      </w:r>
      <w:r w:rsidRPr="00D963CC">
        <w:t xml:space="preserve"> Load </w:t>
      </w:r>
      <w:r>
        <w:t xml:space="preserve">Impact Estimates by Weather </w:t>
      </w:r>
      <w:r>
        <w:br/>
        <w:t>Scenario for Large C&amp;I</w:t>
      </w:r>
      <w:r>
        <w:br/>
        <w:t>SDG&amp;E August System Peak Day (11 AM to 6 PM)</w:t>
      </w:r>
    </w:p>
    <w:tbl>
      <w:tblPr>
        <w:tblW w:w="11587" w:type="dxa"/>
        <w:jc w:val="center"/>
        <w:tblInd w:w="1073" w:type="dxa"/>
        <w:tblLook w:val="04A0" w:firstRow="1" w:lastRow="0" w:firstColumn="1" w:lastColumn="0" w:noHBand="0" w:noVBand="1"/>
      </w:tblPr>
      <w:tblGrid>
        <w:gridCol w:w="1006"/>
        <w:gridCol w:w="1006"/>
        <w:gridCol w:w="757"/>
        <w:gridCol w:w="1135"/>
        <w:gridCol w:w="1725"/>
        <w:gridCol w:w="2235"/>
        <w:gridCol w:w="1530"/>
        <w:gridCol w:w="1194"/>
        <w:gridCol w:w="1120"/>
      </w:tblGrid>
      <w:tr w:rsidR="008028DC" w:rsidRPr="00586162" w:rsidTr="008028DC">
        <w:trPr>
          <w:trHeight w:val="647"/>
          <w:jc w:val="center"/>
        </w:trPr>
        <w:tc>
          <w:tcPr>
            <w:tcW w:w="1006"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Weather Type</w:t>
            </w:r>
          </w:p>
        </w:tc>
        <w:tc>
          <w:tcPr>
            <w:tcW w:w="1006"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Weather Year</w:t>
            </w:r>
          </w:p>
        </w:tc>
        <w:tc>
          <w:tcPr>
            <w:tcW w:w="75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Year</w:t>
            </w:r>
          </w:p>
        </w:tc>
        <w:tc>
          <w:tcPr>
            <w:tcW w:w="1135"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Enrolled Accounts</w:t>
            </w:r>
          </w:p>
        </w:tc>
        <w:tc>
          <w:tcPr>
            <w:tcW w:w="1725" w:type="dxa"/>
            <w:tcBorders>
              <w:top w:val="single" w:sz="4" w:space="0" w:color="auto"/>
              <w:left w:val="nil"/>
              <w:bottom w:val="single" w:sz="4" w:space="0" w:color="FFFFFF"/>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Aggregate Reference Load</w:t>
            </w:r>
          </w:p>
        </w:tc>
        <w:tc>
          <w:tcPr>
            <w:tcW w:w="2235" w:type="dxa"/>
            <w:tcBorders>
              <w:top w:val="single" w:sz="4" w:space="0" w:color="auto"/>
              <w:left w:val="nil"/>
              <w:bottom w:val="single" w:sz="4" w:space="0" w:color="FFFFFF"/>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Aggregate Estimated Load w/ DR</w:t>
            </w:r>
          </w:p>
        </w:tc>
        <w:tc>
          <w:tcPr>
            <w:tcW w:w="1530" w:type="dxa"/>
            <w:tcBorders>
              <w:top w:val="single" w:sz="4" w:space="0" w:color="auto"/>
              <w:left w:val="nil"/>
              <w:bottom w:val="single" w:sz="4" w:space="0" w:color="FFFFFF"/>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Aggregate Load Impact</w:t>
            </w:r>
          </w:p>
        </w:tc>
        <w:tc>
          <w:tcPr>
            <w:tcW w:w="1073" w:type="dxa"/>
            <w:tcBorders>
              <w:top w:val="single" w:sz="4" w:space="0" w:color="auto"/>
              <w:left w:val="nil"/>
              <w:bottom w:val="single" w:sz="4" w:space="0" w:color="FFFFFF"/>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 Load Reduction</w:t>
            </w:r>
          </w:p>
        </w:tc>
        <w:tc>
          <w:tcPr>
            <w:tcW w:w="1120" w:type="dxa"/>
            <w:tcBorders>
              <w:top w:val="single" w:sz="4" w:space="0" w:color="auto"/>
              <w:left w:val="nil"/>
              <w:bottom w:val="single" w:sz="4" w:space="0" w:color="FFFFFF"/>
              <w:right w:val="single" w:sz="4" w:space="0" w:color="auto"/>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Weighted Temp.</w:t>
            </w:r>
          </w:p>
        </w:tc>
      </w:tr>
      <w:tr w:rsidR="008028DC" w:rsidRPr="00586162" w:rsidTr="008028DC">
        <w:trPr>
          <w:trHeight w:val="440"/>
          <w:jc w:val="center"/>
        </w:trPr>
        <w:tc>
          <w:tcPr>
            <w:tcW w:w="1006" w:type="dxa"/>
            <w:vMerge/>
            <w:tcBorders>
              <w:top w:val="single" w:sz="4" w:space="0" w:color="auto"/>
              <w:left w:val="single" w:sz="4" w:space="0" w:color="auto"/>
              <w:bottom w:val="single" w:sz="4" w:space="0" w:color="000000"/>
              <w:right w:val="single" w:sz="4" w:space="0" w:color="FFFFFF"/>
            </w:tcBorders>
            <w:vAlign w:val="center"/>
            <w:hideMark/>
          </w:tcPr>
          <w:p w:rsidR="009A283D" w:rsidRPr="00586162" w:rsidRDefault="009A283D" w:rsidP="006D677D">
            <w:pPr>
              <w:spacing w:after="0" w:line="240" w:lineRule="auto"/>
              <w:rPr>
                <w:rFonts w:ascii="Arial" w:eastAsia="Times New Roman" w:hAnsi="Arial" w:cs="Arial"/>
                <w:b/>
                <w:bCs/>
                <w:color w:val="FFFFFF"/>
                <w:sz w:val="20"/>
                <w:szCs w:val="20"/>
              </w:rPr>
            </w:pPr>
          </w:p>
        </w:tc>
        <w:tc>
          <w:tcPr>
            <w:tcW w:w="1006" w:type="dxa"/>
            <w:vMerge/>
            <w:tcBorders>
              <w:top w:val="single" w:sz="4" w:space="0" w:color="auto"/>
              <w:left w:val="single" w:sz="4" w:space="0" w:color="FFFFFF"/>
              <w:bottom w:val="single" w:sz="4" w:space="0" w:color="000000"/>
              <w:right w:val="single" w:sz="4" w:space="0" w:color="FFFFFF"/>
            </w:tcBorders>
            <w:vAlign w:val="center"/>
            <w:hideMark/>
          </w:tcPr>
          <w:p w:rsidR="009A283D" w:rsidRPr="00586162" w:rsidRDefault="009A283D" w:rsidP="006D677D">
            <w:pPr>
              <w:spacing w:after="0" w:line="240" w:lineRule="auto"/>
              <w:rPr>
                <w:rFonts w:ascii="Arial" w:eastAsia="Times New Roman" w:hAnsi="Arial" w:cs="Arial"/>
                <w:b/>
                <w:bCs/>
                <w:color w:val="FFFFFF"/>
                <w:sz w:val="20"/>
                <w:szCs w:val="20"/>
              </w:rPr>
            </w:pPr>
          </w:p>
        </w:tc>
        <w:tc>
          <w:tcPr>
            <w:tcW w:w="757" w:type="dxa"/>
            <w:vMerge/>
            <w:tcBorders>
              <w:top w:val="single" w:sz="4" w:space="0" w:color="auto"/>
              <w:left w:val="single" w:sz="4" w:space="0" w:color="FFFFFF"/>
              <w:bottom w:val="single" w:sz="4" w:space="0" w:color="000000"/>
              <w:right w:val="single" w:sz="4" w:space="0" w:color="FFFFFF"/>
            </w:tcBorders>
            <w:vAlign w:val="center"/>
            <w:hideMark/>
          </w:tcPr>
          <w:p w:rsidR="009A283D" w:rsidRPr="00586162" w:rsidRDefault="009A283D" w:rsidP="006D677D">
            <w:pPr>
              <w:spacing w:after="0" w:line="240" w:lineRule="auto"/>
              <w:rPr>
                <w:rFonts w:ascii="Arial" w:eastAsia="Times New Roman" w:hAnsi="Arial" w:cs="Arial"/>
                <w:b/>
                <w:bCs/>
                <w:color w:val="FFFFFF"/>
                <w:sz w:val="20"/>
                <w:szCs w:val="20"/>
              </w:rPr>
            </w:pPr>
          </w:p>
        </w:tc>
        <w:tc>
          <w:tcPr>
            <w:tcW w:w="1135" w:type="dxa"/>
            <w:vMerge/>
            <w:tcBorders>
              <w:top w:val="single" w:sz="4" w:space="0" w:color="auto"/>
              <w:left w:val="single" w:sz="4" w:space="0" w:color="FFFFFF"/>
              <w:bottom w:val="single" w:sz="4" w:space="0" w:color="000000"/>
              <w:right w:val="single" w:sz="4" w:space="0" w:color="FFFFFF"/>
            </w:tcBorders>
            <w:vAlign w:val="center"/>
            <w:hideMark/>
          </w:tcPr>
          <w:p w:rsidR="009A283D" w:rsidRPr="00586162" w:rsidRDefault="009A283D" w:rsidP="006D677D">
            <w:pPr>
              <w:spacing w:after="0" w:line="240" w:lineRule="auto"/>
              <w:rPr>
                <w:rFonts w:ascii="Arial" w:eastAsia="Times New Roman" w:hAnsi="Arial" w:cs="Arial"/>
                <w:b/>
                <w:bCs/>
                <w:color w:val="FFFFFF"/>
                <w:sz w:val="20"/>
                <w:szCs w:val="20"/>
              </w:rPr>
            </w:pPr>
          </w:p>
        </w:tc>
        <w:tc>
          <w:tcPr>
            <w:tcW w:w="1725" w:type="dxa"/>
            <w:tcBorders>
              <w:top w:val="nil"/>
              <w:left w:val="nil"/>
              <w:bottom w:val="single" w:sz="4" w:space="0" w:color="auto"/>
              <w:right w:val="single" w:sz="4" w:space="0" w:color="FFFFFF"/>
            </w:tcBorders>
            <w:shd w:val="clear" w:color="000000" w:fill="0070CD"/>
            <w:vAlign w:val="center"/>
            <w:hideMark/>
          </w:tcPr>
          <w:p w:rsidR="009A283D" w:rsidRPr="00586162" w:rsidRDefault="00F0706F" w:rsidP="006D677D">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(MW  1</w:t>
            </w:r>
            <w:r w:rsidR="002E1065">
              <w:rPr>
                <w:rFonts w:ascii="Arial" w:eastAsia="Times New Roman" w:hAnsi="Arial" w:cs="Arial"/>
                <w:b/>
                <w:bCs/>
                <w:color w:val="FFFFFF"/>
                <w:sz w:val="20"/>
                <w:szCs w:val="20"/>
              </w:rPr>
              <w:t>–</w:t>
            </w:r>
            <w:r w:rsidR="009A283D" w:rsidRPr="00586162">
              <w:rPr>
                <w:rFonts w:ascii="Arial" w:eastAsia="Times New Roman" w:hAnsi="Arial" w:cs="Arial"/>
                <w:b/>
                <w:bCs/>
                <w:color w:val="FFFFFF"/>
                <w:sz w:val="20"/>
                <w:szCs w:val="20"/>
              </w:rPr>
              <w:t>6 PM)</w:t>
            </w:r>
          </w:p>
        </w:tc>
        <w:tc>
          <w:tcPr>
            <w:tcW w:w="2235" w:type="dxa"/>
            <w:tcBorders>
              <w:top w:val="nil"/>
              <w:left w:val="nil"/>
              <w:bottom w:val="single" w:sz="4" w:space="0" w:color="auto"/>
              <w:right w:val="single" w:sz="4" w:space="0" w:color="FFFFFF"/>
            </w:tcBorders>
            <w:shd w:val="clear" w:color="000000" w:fill="0070CD"/>
            <w:vAlign w:val="center"/>
            <w:hideMark/>
          </w:tcPr>
          <w:p w:rsidR="009A283D" w:rsidRPr="00586162" w:rsidRDefault="00F0706F" w:rsidP="006D677D">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(MW  1</w:t>
            </w:r>
            <w:r w:rsidR="002E1065">
              <w:rPr>
                <w:rFonts w:ascii="Arial" w:eastAsia="Times New Roman" w:hAnsi="Arial" w:cs="Arial"/>
                <w:b/>
                <w:bCs/>
                <w:color w:val="FFFFFF"/>
                <w:sz w:val="20"/>
                <w:szCs w:val="20"/>
              </w:rPr>
              <w:t>–</w:t>
            </w:r>
            <w:r w:rsidR="009A283D" w:rsidRPr="00586162">
              <w:rPr>
                <w:rFonts w:ascii="Arial" w:eastAsia="Times New Roman" w:hAnsi="Arial" w:cs="Arial"/>
                <w:b/>
                <w:bCs/>
                <w:color w:val="FFFFFF"/>
                <w:sz w:val="20"/>
                <w:szCs w:val="20"/>
              </w:rPr>
              <w:t>6 PM)</w:t>
            </w:r>
          </w:p>
        </w:tc>
        <w:tc>
          <w:tcPr>
            <w:tcW w:w="1530" w:type="dxa"/>
            <w:tcBorders>
              <w:top w:val="nil"/>
              <w:left w:val="nil"/>
              <w:bottom w:val="single" w:sz="4" w:space="0" w:color="auto"/>
              <w:right w:val="single" w:sz="4" w:space="0" w:color="FFFFFF"/>
            </w:tcBorders>
            <w:shd w:val="clear" w:color="000000" w:fill="0070CD"/>
            <w:vAlign w:val="center"/>
            <w:hideMark/>
          </w:tcPr>
          <w:p w:rsidR="009A283D" w:rsidRPr="00586162" w:rsidRDefault="00F0706F" w:rsidP="006D677D">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(MW  1</w:t>
            </w:r>
            <w:r w:rsidR="002E1065">
              <w:rPr>
                <w:rFonts w:ascii="Arial" w:eastAsia="Times New Roman" w:hAnsi="Arial" w:cs="Arial"/>
                <w:b/>
                <w:bCs/>
                <w:color w:val="FFFFFF"/>
                <w:sz w:val="20"/>
                <w:szCs w:val="20"/>
              </w:rPr>
              <w:t>–</w:t>
            </w:r>
            <w:r w:rsidR="009A283D" w:rsidRPr="00586162">
              <w:rPr>
                <w:rFonts w:ascii="Arial" w:eastAsia="Times New Roman" w:hAnsi="Arial" w:cs="Arial"/>
                <w:b/>
                <w:bCs/>
                <w:color w:val="FFFFFF"/>
                <w:sz w:val="20"/>
                <w:szCs w:val="20"/>
              </w:rPr>
              <w:t>6 PM)</w:t>
            </w:r>
          </w:p>
        </w:tc>
        <w:tc>
          <w:tcPr>
            <w:tcW w:w="1073" w:type="dxa"/>
            <w:tcBorders>
              <w:top w:val="nil"/>
              <w:left w:val="nil"/>
              <w:bottom w:val="single" w:sz="4" w:space="0" w:color="auto"/>
              <w:right w:val="single" w:sz="4" w:space="0" w:color="FFFFFF"/>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w:t>
            </w:r>
          </w:p>
        </w:tc>
        <w:tc>
          <w:tcPr>
            <w:tcW w:w="1120" w:type="dxa"/>
            <w:tcBorders>
              <w:top w:val="nil"/>
              <w:left w:val="nil"/>
              <w:bottom w:val="single" w:sz="4" w:space="0" w:color="auto"/>
              <w:right w:val="single" w:sz="4" w:space="0" w:color="auto"/>
            </w:tcBorders>
            <w:shd w:val="clear" w:color="000000" w:fill="0070CD"/>
            <w:vAlign w:val="center"/>
            <w:hideMark/>
          </w:tcPr>
          <w:p w:rsidR="009A283D" w:rsidRPr="00586162" w:rsidRDefault="009A283D" w:rsidP="006D677D">
            <w:pPr>
              <w:spacing w:after="0" w:line="240" w:lineRule="auto"/>
              <w:jc w:val="center"/>
              <w:rPr>
                <w:rFonts w:ascii="Arial" w:eastAsia="Times New Roman" w:hAnsi="Arial" w:cs="Arial"/>
                <w:b/>
                <w:bCs/>
                <w:color w:val="FFFFFF"/>
                <w:sz w:val="20"/>
                <w:szCs w:val="20"/>
              </w:rPr>
            </w:pPr>
            <w:r w:rsidRPr="00586162">
              <w:rPr>
                <w:rFonts w:ascii="Arial" w:eastAsia="Times New Roman" w:hAnsi="Arial" w:cs="Arial"/>
                <w:b/>
                <w:bCs/>
                <w:color w:val="FFFFFF"/>
                <w:sz w:val="20"/>
                <w:szCs w:val="20"/>
              </w:rPr>
              <w:t>(°F)</w:t>
            </w:r>
          </w:p>
        </w:tc>
      </w:tr>
      <w:tr w:rsidR="002E1065" w:rsidRPr="00586162" w:rsidTr="008028DC">
        <w:trPr>
          <w:trHeight w:val="255"/>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SDG&amp;E</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1-in-10</w:t>
            </w: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1,253</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322.6</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295.2</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27.4</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8.5%</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86.6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2016</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1,267</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326.0</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298.4</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27.6</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8.5%</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86.6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2025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1,405</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361.2</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330.9</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30.4</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8.4%</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86.6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1-in-2</w:t>
            </w: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1,253</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308.6</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283.4</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25.2</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8.2%</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81.0</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2016</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1,267</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311.9</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286.5</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25.4</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8.2%</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81.0</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2025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1,405</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345.5</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317.6</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27.9</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8.1%</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81.0</w:t>
            </w:r>
          </w:p>
        </w:tc>
      </w:tr>
      <w:tr w:rsidR="002E1065" w:rsidRPr="00586162" w:rsidTr="008028DC">
        <w:trPr>
          <w:trHeight w:val="255"/>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CAISO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1-in-10</w:t>
            </w: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1,253</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314.5</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288.4</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26.1</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2016</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1,267</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317.9</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291.5</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26.4</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2025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1,405</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352.2</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323.2</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29.0</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8.2%</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1-in-2</w:t>
            </w: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1,253</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312.4</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286.6</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25.8</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2016</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1,267</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315.8</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289.7</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26.0</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8.2%</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r w:rsidR="002E1065" w:rsidRPr="00586162" w:rsidTr="008028DC">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586162" w:rsidRDefault="009A283D" w:rsidP="006D677D">
            <w:pPr>
              <w:spacing w:after="0" w:line="240" w:lineRule="auto"/>
              <w:rPr>
                <w:rFonts w:ascii="Arial" w:eastAsia="Times New Roman" w:hAnsi="Arial" w:cs="Arial"/>
                <w:color w:val="000000"/>
                <w:sz w:val="20"/>
                <w:szCs w:val="20"/>
              </w:rPr>
            </w:pPr>
          </w:p>
        </w:tc>
        <w:tc>
          <w:tcPr>
            <w:tcW w:w="757"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2025</w:t>
            </w:r>
          </w:p>
        </w:tc>
        <w:tc>
          <w:tcPr>
            <w:tcW w:w="11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1,405</w:t>
            </w:r>
          </w:p>
        </w:tc>
        <w:tc>
          <w:tcPr>
            <w:tcW w:w="172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349.8</w:t>
            </w:r>
          </w:p>
        </w:tc>
        <w:tc>
          <w:tcPr>
            <w:tcW w:w="2235"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321.2</w:t>
            </w:r>
          </w:p>
        </w:tc>
        <w:tc>
          <w:tcPr>
            <w:tcW w:w="153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28.6</w:t>
            </w:r>
          </w:p>
        </w:tc>
        <w:tc>
          <w:tcPr>
            <w:tcW w:w="1073"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8.2%</w:t>
            </w:r>
          </w:p>
        </w:tc>
        <w:tc>
          <w:tcPr>
            <w:tcW w:w="1120" w:type="dxa"/>
            <w:tcBorders>
              <w:top w:val="nil"/>
              <w:left w:val="nil"/>
              <w:bottom w:val="single" w:sz="4" w:space="0" w:color="auto"/>
              <w:right w:val="single" w:sz="4" w:space="0" w:color="auto"/>
            </w:tcBorders>
            <w:shd w:val="clear" w:color="auto" w:fill="auto"/>
            <w:noWrap/>
            <w:vAlign w:val="center"/>
            <w:hideMark/>
          </w:tcPr>
          <w:p w:rsidR="009A283D" w:rsidRPr="00586162" w:rsidRDefault="009A283D" w:rsidP="006D677D">
            <w:pPr>
              <w:spacing w:after="0" w:line="240" w:lineRule="auto"/>
              <w:jc w:val="center"/>
              <w:rPr>
                <w:rFonts w:ascii="Arial" w:eastAsia="Times New Roman" w:hAnsi="Arial" w:cs="Arial"/>
                <w:color w:val="000000"/>
                <w:sz w:val="20"/>
                <w:szCs w:val="20"/>
              </w:rPr>
            </w:pPr>
            <w:r w:rsidRPr="00586162">
              <w:rPr>
                <w:rFonts w:ascii="Arial" w:eastAsia="Times New Roman" w:hAnsi="Arial" w:cs="Arial"/>
                <w:color w:val="000000"/>
                <w:sz w:val="20"/>
                <w:szCs w:val="20"/>
              </w:rPr>
              <w:t>83.6</w:t>
            </w:r>
          </w:p>
        </w:tc>
      </w:tr>
    </w:tbl>
    <w:p w:rsidR="009A283D" w:rsidRDefault="009A283D" w:rsidP="009A283D">
      <w:pPr>
        <w:pStyle w:val="BodyParagraph"/>
      </w:pPr>
    </w:p>
    <w:p w:rsidR="009A283D" w:rsidRPr="00251F42" w:rsidRDefault="009A283D" w:rsidP="009A283D">
      <w:pPr>
        <w:pStyle w:val="BodyParagraph"/>
      </w:pPr>
      <w:r>
        <w:t>Load impacts presented in Table 9-3 (in addition to the remainder of this section) do not reflect adjustments for dual enrollment in the BIP and CBP programs</w:t>
      </w:r>
      <w:proofErr w:type="gramStart"/>
      <w:r>
        <w:t xml:space="preserve">.  </w:t>
      </w:r>
      <w:proofErr w:type="gramEnd"/>
      <w:r>
        <w:t>Customers dually enrolled in those programs are among the most responsive participants</w:t>
      </w:r>
      <w:proofErr w:type="gramStart"/>
      <w:r>
        <w:t xml:space="preserve">.  </w:t>
      </w:r>
      <w:proofErr w:type="gramEnd"/>
      <w:r>
        <w:t>Figure 9-5 illustrates the effect of</w:t>
      </w:r>
      <w:r w:rsidR="002E1065">
        <w:t> </w:t>
      </w:r>
      <w:r>
        <w:t>removing dually enrolled customers from the forecast to produce the portfolio-adjusted load impact estimates</w:t>
      </w:r>
      <w:proofErr w:type="gramStart"/>
      <w:r>
        <w:t xml:space="preserve">.  </w:t>
      </w:r>
      <w:proofErr w:type="gramEnd"/>
      <w:r>
        <w:t>The portfolio-adjusted demand reductions are lower than the program-specific results by about a percentage point</w:t>
      </w:r>
      <w:proofErr w:type="gramStart"/>
      <w:r>
        <w:t xml:space="preserve">.  </w:t>
      </w:r>
      <w:proofErr w:type="gramEnd"/>
      <w:r w:rsidRPr="008F0E66">
        <w:t xml:space="preserve">The </w:t>
      </w:r>
      <w:r>
        <w:t>portfolio-adjusted</w:t>
      </w:r>
      <w:r w:rsidRPr="008F0E66">
        <w:t xml:space="preserve"> estimates</w:t>
      </w:r>
      <w:r>
        <w:t xml:space="preserve"> are fully documented in the electronic ex ante load impacts table generator, provided under separate cover, and</w:t>
      </w:r>
      <w:r w:rsidRPr="008F0E66">
        <w:t xml:space="preserve"> are summarized in </w:t>
      </w:r>
      <w:r w:rsidRPr="00877990">
        <w:t>App</w:t>
      </w:r>
      <w:r>
        <w:t>endix F</w:t>
      </w:r>
      <w:r w:rsidRPr="00877990">
        <w:t>.</w:t>
      </w:r>
      <w:r>
        <w:t xml:space="preserve">  </w:t>
      </w:r>
    </w:p>
    <w:p w:rsidR="009A283D" w:rsidRDefault="009A283D" w:rsidP="009A283D">
      <w:pPr>
        <w:pStyle w:val="TableFigureCaption"/>
      </w:pPr>
      <w:r>
        <w:lastRenderedPageBreak/>
        <w:t>Figure 9-5: Comparison of Portfolio-adjusted to Program-specific Ex Ante Load Impacts</w:t>
      </w:r>
      <w:r>
        <w:br/>
        <w:t>May t</w:t>
      </w:r>
      <w:r w:rsidR="002E1065">
        <w:t>hr</w:t>
      </w:r>
      <w:r>
        <w:t>o</w:t>
      </w:r>
      <w:r w:rsidR="002E1065">
        <w:t>ugh</w:t>
      </w:r>
      <w:r>
        <w:t xml:space="preserve"> October Monthly Peaks for Current Participants</w:t>
      </w:r>
    </w:p>
    <w:p w:rsidR="009A283D" w:rsidRDefault="009A283D" w:rsidP="009A283D">
      <w:pPr>
        <w:pStyle w:val="BodyParagraph"/>
        <w:jc w:val="center"/>
        <w:rPr>
          <w:rFonts w:ascii="Calibri" w:eastAsia="Times New Roman" w:hAnsi="Calibri" w:cs="Times New Roman"/>
          <w:color w:val="000000"/>
        </w:rPr>
      </w:pPr>
      <w:r>
        <w:rPr>
          <w:noProof/>
        </w:rPr>
        <w:drawing>
          <wp:inline distT="0" distB="0" distL="0" distR="0" wp14:anchorId="7621D945" wp14:editId="0B991E43">
            <wp:extent cx="5943600" cy="3239135"/>
            <wp:effectExtent l="0" t="0" r="0" b="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943600" cy="3239135"/>
                    </a:xfrm>
                    <a:prstGeom prst="rect">
                      <a:avLst/>
                    </a:prstGeom>
                    <a:noFill/>
                    <a:extLst/>
                  </pic:spPr>
                </pic:pic>
              </a:graphicData>
            </a:graphic>
          </wp:inline>
        </w:drawing>
      </w:r>
    </w:p>
    <w:p w:rsidR="009A283D" w:rsidRDefault="009A283D" w:rsidP="00A945AF">
      <w:pPr>
        <w:pStyle w:val="Heading3"/>
      </w:pPr>
      <w:bookmarkStart w:id="261" w:name="_Toc412650632"/>
      <w:bookmarkStart w:id="262" w:name="_Toc415494811"/>
      <w:r>
        <w:t>Ex Ante Load Impact Uncertainty</w:t>
      </w:r>
      <w:bookmarkEnd w:id="261"/>
      <w:bookmarkEnd w:id="262"/>
    </w:p>
    <w:p w:rsidR="009A283D" w:rsidRDefault="009A283D" w:rsidP="009A283D">
      <w:pPr>
        <w:pStyle w:val="BodyParagraph"/>
      </w:pPr>
      <w:r>
        <w:t xml:space="preserve">Table 9-4 summarizes the statistical uncertainty in the </w:t>
      </w:r>
      <w:proofErr w:type="spellStart"/>
      <w:r>
        <w:t>ex ante</w:t>
      </w:r>
      <w:proofErr w:type="spellEnd"/>
      <w:r>
        <w:t xml:space="preserve"> annual system peak load impact estimates for large C&amp;I customers</w:t>
      </w:r>
      <w:proofErr w:type="gramStart"/>
      <w:r>
        <w:t>.</w:t>
      </w:r>
      <w:r w:rsidRPr="00862A0E">
        <w:t xml:space="preserve"> </w:t>
      </w:r>
      <w:r>
        <w:t xml:space="preserve"> </w:t>
      </w:r>
      <w:proofErr w:type="gramEnd"/>
      <w:r>
        <w:t xml:space="preserve">The </w:t>
      </w:r>
      <w:proofErr w:type="spellStart"/>
      <w:r>
        <w:t>ex ante</w:t>
      </w:r>
      <w:proofErr w:type="spellEnd"/>
      <w:r>
        <w:t xml:space="preserve"> impacts and the uncertainty reported in Table 9-4 do not reflect uncertainty in the CPP enrollment forecast</w:t>
      </w:r>
      <w:proofErr w:type="gramStart"/>
      <w:r>
        <w:t xml:space="preserve">.  </w:t>
      </w:r>
      <w:proofErr w:type="gramEnd"/>
      <w:r>
        <w:t>They do, however, reflect the challenge of accurately estimating small percentage demand reductions for individual event days</w:t>
      </w:r>
      <w:proofErr w:type="gramStart"/>
      <w:r>
        <w:t xml:space="preserve">. </w:t>
      </w:r>
      <w:r w:rsidR="002E1065">
        <w:t xml:space="preserve"> </w:t>
      </w:r>
      <w:proofErr w:type="gramEnd"/>
      <w:r>
        <w:t>The uncertainty is relatively broad</w:t>
      </w:r>
      <w:proofErr w:type="gramStart"/>
      <w:r>
        <w:t xml:space="preserve">.  </w:t>
      </w:r>
      <w:proofErr w:type="gramEnd"/>
      <w:r>
        <w:t>For example, in 2015</w:t>
      </w:r>
      <w:r w:rsidRPr="00BE286E">
        <w:t>, the</w:t>
      </w:r>
      <w:r>
        <w:t xml:space="preserve"> projected load impacts for</w:t>
      </w:r>
      <w:r w:rsidR="002E1065">
        <w:t> </w:t>
      </w:r>
      <w:r>
        <w:t>August 1-in-2 year, SDG&amp;E weather, are 25.2±7.0z MW, with</w:t>
      </w:r>
      <w:r w:rsidRPr="00BE286E">
        <w:t xml:space="preserve"> 80% confidence</w:t>
      </w:r>
      <w:proofErr w:type="gramStart"/>
      <w:r w:rsidRPr="00BE286E">
        <w:t xml:space="preserve">.  </w:t>
      </w:r>
      <w:proofErr w:type="gramEnd"/>
      <w:r>
        <w:t>But in percentage terms, the uncertainty seems smaller, 8.2%±2.3%, with 80% confidence</w:t>
      </w:r>
      <w:proofErr w:type="gramStart"/>
      <w:r>
        <w:t xml:space="preserve">.  </w:t>
      </w:r>
      <w:proofErr w:type="gramEnd"/>
      <w:r>
        <w:t>For this program in particular, small differences in the estimated percent demand reductions can appear to be large changes in the estimated MW reductions, if the uncertainty is not considered.</w:t>
      </w:r>
      <w:r>
        <w:br w:type="page"/>
      </w:r>
    </w:p>
    <w:p w:rsidR="009A283D" w:rsidRDefault="009A283D" w:rsidP="009A283D">
      <w:pPr>
        <w:pStyle w:val="TableFigureCaption"/>
        <w:spacing w:after="0"/>
      </w:pPr>
      <w:r>
        <w:lastRenderedPageBreak/>
        <w:t xml:space="preserve">Table 9-4: Default CPP </w:t>
      </w:r>
      <w:proofErr w:type="gramStart"/>
      <w:r w:rsidRPr="00D963CC">
        <w:t>Ex</w:t>
      </w:r>
      <w:proofErr w:type="gramEnd"/>
      <w:r w:rsidRPr="00D963CC">
        <w:t xml:space="preserve"> </w:t>
      </w:r>
      <w:r>
        <w:t>Ante</w:t>
      </w:r>
      <w:r w:rsidRPr="00D963CC">
        <w:t xml:space="preserve"> Load </w:t>
      </w:r>
      <w:r>
        <w:t>Impact Estimates by Weather Scenario for Large C&amp;I with Uncertainty</w:t>
      </w:r>
    </w:p>
    <w:p w:rsidR="009A283D" w:rsidRDefault="009A283D" w:rsidP="009A283D">
      <w:pPr>
        <w:pStyle w:val="TableFigureCaption"/>
      </w:pPr>
      <w:r>
        <w:t>SDG&amp;E August</w:t>
      </w:r>
      <w:bookmarkStart w:id="263" w:name="_Toc350876903"/>
      <w:bookmarkStart w:id="264" w:name="_Toc351370134"/>
      <w:bookmarkStart w:id="265" w:name="_Toc352323667"/>
      <w:r>
        <w:t xml:space="preserve"> System Peak Day (11 AM </w:t>
      </w:r>
      <w:r w:rsidR="002E1065">
        <w:t xml:space="preserve">to </w:t>
      </w:r>
      <w:r>
        <w:t>6 PM)</w:t>
      </w:r>
    </w:p>
    <w:tbl>
      <w:tblPr>
        <w:tblW w:w="9824" w:type="dxa"/>
        <w:jc w:val="center"/>
        <w:tblInd w:w="93" w:type="dxa"/>
        <w:tblLook w:val="04A0" w:firstRow="1" w:lastRow="0" w:firstColumn="1" w:lastColumn="0" w:noHBand="0" w:noVBand="1"/>
      </w:tblPr>
      <w:tblGrid>
        <w:gridCol w:w="1020"/>
        <w:gridCol w:w="1006"/>
        <w:gridCol w:w="661"/>
        <w:gridCol w:w="2249"/>
        <w:gridCol w:w="966"/>
        <w:gridCol w:w="979"/>
        <w:gridCol w:w="1100"/>
        <w:gridCol w:w="883"/>
        <w:gridCol w:w="960"/>
      </w:tblGrid>
      <w:tr w:rsidR="008028DC" w:rsidRPr="00830072" w:rsidTr="008028DC">
        <w:trPr>
          <w:trHeight w:val="827"/>
          <w:jc w:val="center"/>
        </w:trPr>
        <w:tc>
          <w:tcPr>
            <w:tcW w:w="1020"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Weather Type</w:t>
            </w:r>
          </w:p>
        </w:tc>
        <w:tc>
          <w:tcPr>
            <w:tcW w:w="1006"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Weather Year</w:t>
            </w:r>
          </w:p>
        </w:tc>
        <w:tc>
          <w:tcPr>
            <w:tcW w:w="661"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Year</w:t>
            </w:r>
          </w:p>
        </w:tc>
        <w:tc>
          <w:tcPr>
            <w:tcW w:w="2249" w:type="dxa"/>
            <w:tcBorders>
              <w:top w:val="single" w:sz="4" w:space="0" w:color="auto"/>
              <w:left w:val="nil"/>
              <w:bottom w:val="single" w:sz="4" w:space="0" w:color="FFFFFF"/>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Expected Aggregate Load Impact</w:t>
            </w:r>
          </w:p>
        </w:tc>
        <w:tc>
          <w:tcPr>
            <w:tcW w:w="4888" w:type="dxa"/>
            <w:gridSpan w:val="5"/>
            <w:tcBorders>
              <w:top w:val="single" w:sz="4" w:space="0" w:color="auto"/>
              <w:left w:val="nil"/>
              <w:bottom w:val="single" w:sz="4" w:space="0" w:color="FFFFFF"/>
              <w:right w:val="single" w:sz="4" w:space="0" w:color="000000"/>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Impact Uncertainty</w:t>
            </w:r>
          </w:p>
        </w:tc>
      </w:tr>
      <w:tr w:rsidR="008028DC" w:rsidRPr="00830072" w:rsidTr="008028DC">
        <w:trPr>
          <w:trHeight w:val="510"/>
          <w:jc w:val="center"/>
        </w:trPr>
        <w:tc>
          <w:tcPr>
            <w:tcW w:w="1020" w:type="dxa"/>
            <w:vMerge/>
            <w:tcBorders>
              <w:top w:val="single" w:sz="4" w:space="0" w:color="auto"/>
              <w:left w:val="single" w:sz="4" w:space="0" w:color="auto"/>
              <w:bottom w:val="single" w:sz="4" w:space="0" w:color="000000"/>
              <w:right w:val="single" w:sz="4" w:space="0" w:color="FFFFFF"/>
            </w:tcBorders>
            <w:vAlign w:val="center"/>
            <w:hideMark/>
          </w:tcPr>
          <w:p w:rsidR="009A283D" w:rsidRPr="00830072" w:rsidRDefault="009A283D" w:rsidP="006D677D">
            <w:pPr>
              <w:spacing w:after="0" w:line="240" w:lineRule="auto"/>
              <w:rPr>
                <w:rFonts w:ascii="Arial" w:eastAsia="Times New Roman" w:hAnsi="Arial" w:cs="Arial"/>
                <w:b/>
                <w:bCs/>
                <w:color w:val="FFFFFF"/>
                <w:sz w:val="20"/>
                <w:szCs w:val="20"/>
              </w:rPr>
            </w:pPr>
          </w:p>
        </w:tc>
        <w:tc>
          <w:tcPr>
            <w:tcW w:w="1006" w:type="dxa"/>
            <w:vMerge/>
            <w:tcBorders>
              <w:top w:val="single" w:sz="4" w:space="0" w:color="auto"/>
              <w:left w:val="single" w:sz="4" w:space="0" w:color="FFFFFF"/>
              <w:bottom w:val="single" w:sz="4" w:space="0" w:color="000000"/>
              <w:right w:val="single" w:sz="4" w:space="0" w:color="FFFFFF"/>
            </w:tcBorders>
            <w:vAlign w:val="center"/>
            <w:hideMark/>
          </w:tcPr>
          <w:p w:rsidR="009A283D" w:rsidRPr="00830072" w:rsidRDefault="009A283D" w:rsidP="006D677D">
            <w:pPr>
              <w:spacing w:after="0" w:line="240" w:lineRule="auto"/>
              <w:rPr>
                <w:rFonts w:ascii="Arial" w:eastAsia="Times New Roman" w:hAnsi="Arial" w:cs="Arial"/>
                <w:b/>
                <w:bCs/>
                <w:color w:val="FFFFFF"/>
                <w:sz w:val="20"/>
                <w:szCs w:val="20"/>
              </w:rPr>
            </w:pPr>
          </w:p>
        </w:tc>
        <w:tc>
          <w:tcPr>
            <w:tcW w:w="661" w:type="dxa"/>
            <w:vMerge/>
            <w:tcBorders>
              <w:top w:val="single" w:sz="4" w:space="0" w:color="auto"/>
              <w:left w:val="single" w:sz="4" w:space="0" w:color="FFFFFF"/>
              <w:bottom w:val="single" w:sz="4" w:space="0" w:color="000000"/>
              <w:right w:val="single" w:sz="4" w:space="0" w:color="FFFFFF"/>
            </w:tcBorders>
            <w:vAlign w:val="center"/>
            <w:hideMark/>
          </w:tcPr>
          <w:p w:rsidR="009A283D" w:rsidRPr="00830072" w:rsidRDefault="009A283D" w:rsidP="006D677D">
            <w:pPr>
              <w:spacing w:after="0" w:line="240" w:lineRule="auto"/>
              <w:rPr>
                <w:rFonts w:ascii="Arial" w:eastAsia="Times New Roman" w:hAnsi="Arial" w:cs="Arial"/>
                <w:b/>
                <w:bCs/>
                <w:color w:val="FFFFFF"/>
                <w:sz w:val="20"/>
                <w:szCs w:val="20"/>
              </w:rPr>
            </w:pPr>
          </w:p>
        </w:tc>
        <w:tc>
          <w:tcPr>
            <w:tcW w:w="2249" w:type="dxa"/>
            <w:tcBorders>
              <w:top w:val="nil"/>
              <w:left w:val="nil"/>
              <w:bottom w:val="single" w:sz="4" w:space="0" w:color="auto"/>
              <w:right w:val="single" w:sz="4" w:space="0" w:color="FFFFFF"/>
            </w:tcBorders>
            <w:shd w:val="clear" w:color="000000" w:fill="0070CD"/>
            <w:vAlign w:val="center"/>
            <w:hideMark/>
          </w:tcPr>
          <w:p w:rsidR="009A283D" w:rsidRPr="00830072" w:rsidRDefault="00263CB0" w:rsidP="006D677D">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(MW  1</w:t>
            </w:r>
            <w:r w:rsidR="002E1065">
              <w:rPr>
                <w:rFonts w:ascii="Arial" w:eastAsia="Times New Roman" w:hAnsi="Arial" w:cs="Arial"/>
                <w:b/>
                <w:bCs/>
                <w:color w:val="FFFFFF"/>
                <w:sz w:val="20"/>
                <w:szCs w:val="20"/>
              </w:rPr>
              <w:t>–</w:t>
            </w:r>
            <w:r w:rsidR="009A283D" w:rsidRPr="00830072">
              <w:rPr>
                <w:rFonts w:ascii="Arial" w:eastAsia="Times New Roman" w:hAnsi="Arial" w:cs="Arial"/>
                <w:b/>
                <w:bCs/>
                <w:color w:val="FFFFFF"/>
                <w:sz w:val="20"/>
                <w:szCs w:val="20"/>
              </w:rPr>
              <w:t>6 PM)</w:t>
            </w:r>
          </w:p>
        </w:tc>
        <w:tc>
          <w:tcPr>
            <w:tcW w:w="966" w:type="dxa"/>
            <w:tcBorders>
              <w:top w:val="nil"/>
              <w:left w:val="nil"/>
              <w:bottom w:val="single" w:sz="4" w:space="0" w:color="auto"/>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10th</w:t>
            </w:r>
          </w:p>
        </w:tc>
        <w:tc>
          <w:tcPr>
            <w:tcW w:w="979" w:type="dxa"/>
            <w:tcBorders>
              <w:top w:val="nil"/>
              <w:left w:val="nil"/>
              <w:bottom w:val="single" w:sz="4" w:space="0" w:color="auto"/>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30th</w:t>
            </w:r>
          </w:p>
        </w:tc>
        <w:tc>
          <w:tcPr>
            <w:tcW w:w="1100" w:type="dxa"/>
            <w:tcBorders>
              <w:top w:val="nil"/>
              <w:left w:val="nil"/>
              <w:bottom w:val="single" w:sz="4" w:space="0" w:color="auto"/>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50th</w:t>
            </w:r>
          </w:p>
        </w:tc>
        <w:tc>
          <w:tcPr>
            <w:tcW w:w="883" w:type="dxa"/>
            <w:tcBorders>
              <w:top w:val="nil"/>
              <w:left w:val="nil"/>
              <w:bottom w:val="single" w:sz="4" w:space="0" w:color="auto"/>
              <w:right w:val="single" w:sz="4" w:space="0" w:color="FFFFFF"/>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70th</w:t>
            </w:r>
          </w:p>
        </w:tc>
        <w:tc>
          <w:tcPr>
            <w:tcW w:w="960" w:type="dxa"/>
            <w:tcBorders>
              <w:top w:val="nil"/>
              <w:left w:val="nil"/>
              <w:bottom w:val="single" w:sz="4" w:space="0" w:color="auto"/>
              <w:right w:val="single" w:sz="4" w:space="0" w:color="auto"/>
            </w:tcBorders>
            <w:shd w:val="clear" w:color="000000" w:fill="0070CD"/>
            <w:vAlign w:val="center"/>
            <w:hideMark/>
          </w:tcPr>
          <w:p w:rsidR="009A283D" w:rsidRPr="00830072" w:rsidRDefault="009A283D" w:rsidP="006D677D">
            <w:pPr>
              <w:spacing w:after="0" w:line="240" w:lineRule="auto"/>
              <w:jc w:val="center"/>
              <w:rPr>
                <w:rFonts w:ascii="Arial" w:eastAsia="Times New Roman" w:hAnsi="Arial" w:cs="Arial"/>
                <w:b/>
                <w:bCs/>
                <w:color w:val="FFFFFF"/>
                <w:sz w:val="20"/>
                <w:szCs w:val="20"/>
              </w:rPr>
            </w:pPr>
            <w:r w:rsidRPr="00830072">
              <w:rPr>
                <w:rFonts w:ascii="Arial" w:eastAsia="Times New Roman" w:hAnsi="Arial" w:cs="Arial"/>
                <w:b/>
                <w:bCs/>
                <w:color w:val="FFFFFF"/>
                <w:sz w:val="20"/>
                <w:szCs w:val="20"/>
              </w:rPr>
              <w:t>90th</w:t>
            </w:r>
          </w:p>
        </w:tc>
      </w:tr>
      <w:tr w:rsidR="009A283D" w:rsidRPr="00830072" w:rsidTr="008028DC">
        <w:trPr>
          <w:trHeight w:val="300"/>
          <w:jc w:val="center"/>
        </w:trPr>
        <w:tc>
          <w:tcPr>
            <w:tcW w:w="10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SDG&amp;E</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1-in-10</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27.4</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24.4</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27.4</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30.3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34.6</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2016</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27.6</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20.4</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24.7</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27.6</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30.6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34.9</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30.4</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22.4</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27.1</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30.4</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33.6</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38.3</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1-in-2</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25.2</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18.2</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22.3</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25.2</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32.2</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2016</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25.4</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18.4</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22.5</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25.4</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32.5</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27.9</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24.8</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27.9</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31.1</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35.6</w:t>
            </w:r>
          </w:p>
        </w:tc>
      </w:tr>
      <w:tr w:rsidR="009A283D" w:rsidRPr="00830072" w:rsidTr="008028DC">
        <w:trPr>
          <w:trHeight w:val="300"/>
          <w:jc w:val="center"/>
        </w:trPr>
        <w:tc>
          <w:tcPr>
            <w:tcW w:w="10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CAISO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1-in-10</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26.1</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19.1</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23.2</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26.1</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29.0</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33.2</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2016</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26.4</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19.3</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23.5</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26.4</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29.3</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33.5</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29.0</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21.2</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25.8</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29.0</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32.1</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36.8</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1-in-2</w:t>
            </w: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25.8</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18.8</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22.9</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25.8</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28.7</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32.8</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2016</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26.0</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19.0</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23.1</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26.0</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28.9</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33.1</w:t>
            </w:r>
          </w:p>
        </w:tc>
      </w:tr>
      <w:tr w:rsidR="009A283D" w:rsidRPr="00830072" w:rsidTr="008028DC">
        <w:trPr>
          <w:trHeight w:val="300"/>
          <w:jc w:val="center"/>
        </w:trPr>
        <w:tc>
          <w:tcPr>
            <w:tcW w:w="1020"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9A283D" w:rsidRPr="00830072" w:rsidRDefault="009A283D" w:rsidP="006D677D">
            <w:pPr>
              <w:spacing w:after="0" w:line="240" w:lineRule="auto"/>
              <w:rPr>
                <w:rFonts w:ascii="Arial" w:eastAsia="Times New Roman" w:hAnsi="Arial" w:cs="Arial"/>
                <w:color w:val="000000"/>
                <w:sz w:val="20"/>
                <w:szCs w:val="20"/>
              </w:rPr>
            </w:pPr>
          </w:p>
        </w:tc>
        <w:tc>
          <w:tcPr>
            <w:tcW w:w="661"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2025</w:t>
            </w:r>
          </w:p>
        </w:tc>
        <w:tc>
          <w:tcPr>
            <w:tcW w:w="224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28.6</w:t>
            </w:r>
          </w:p>
        </w:tc>
        <w:tc>
          <w:tcPr>
            <w:tcW w:w="966"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20.8</w:t>
            </w:r>
          </w:p>
        </w:tc>
        <w:tc>
          <w:tcPr>
            <w:tcW w:w="979"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25.4</w:t>
            </w:r>
          </w:p>
        </w:tc>
        <w:tc>
          <w:tcPr>
            <w:tcW w:w="110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28.6</w:t>
            </w:r>
          </w:p>
        </w:tc>
        <w:tc>
          <w:tcPr>
            <w:tcW w:w="883"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31.8</w:t>
            </w:r>
          </w:p>
        </w:tc>
        <w:tc>
          <w:tcPr>
            <w:tcW w:w="960" w:type="dxa"/>
            <w:tcBorders>
              <w:top w:val="nil"/>
              <w:left w:val="nil"/>
              <w:bottom w:val="single" w:sz="4" w:space="0" w:color="auto"/>
              <w:right w:val="single" w:sz="4" w:space="0" w:color="auto"/>
            </w:tcBorders>
            <w:shd w:val="clear" w:color="auto" w:fill="auto"/>
            <w:noWrap/>
            <w:vAlign w:val="center"/>
            <w:hideMark/>
          </w:tcPr>
          <w:p w:rsidR="009A283D" w:rsidRPr="00830072" w:rsidRDefault="009A283D" w:rsidP="006D677D">
            <w:pPr>
              <w:spacing w:after="0" w:line="240" w:lineRule="auto"/>
              <w:jc w:val="center"/>
              <w:rPr>
                <w:rFonts w:ascii="Arial" w:eastAsia="Times New Roman" w:hAnsi="Arial" w:cs="Arial"/>
                <w:color w:val="000000"/>
                <w:sz w:val="20"/>
                <w:szCs w:val="20"/>
              </w:rPr>
            </w:pPr>
            <w:r w:rsidRPr="00830072">
              <w:rPr>
                <w:rFonts w:ascii="Arial" w:eastAsia="Times New Roman" w:hAnsi="Arial" w:cs="Arial"/>
                <w:color w:val="000000"/>
                <w:sz w:val="20"/>
                <w:szCs w:val="20"/>
              </w:rPr>
              <w:t>36.4</w:t>
            </w:r>
          </w:p>
        </w:tc>
      </w:tr>
    </w:tbl>
    <w:p w:rsidR="009A283D" w:rsidRDefault="009A283D" w:rsidP="009A283D">
      <w:pPr>
        <w:pStyle w:val="BodyParagraph"/>
      </w:pPr>
    </w:p>
    <w:p w:rsidR="009A283D" w:rsidRDefault="009A283D" w:rsidP="00A945AF">
      <w:pPr>
        <w:pStyle w:val="Heading3"/>
      </w:pPr>
      <w:bookmarkStart w:id="266" w:name="_Toc412650633"/>
      <w:bookmarkStart w:id="267" w:name="_Toc415494812"/>
      <w:r w:rsidRPr="009326EF">
        <w:t>Comparison</w:t>
      </w:r>
      <w:r>
        <w:t xml:space="preserve"> of </w:t>
      </w:r>
      <w:bookmarkEnd w:id="266"/>
      <w:r w:rsidR="00317342">
        <w:t xml:space="preserve">2013 and 2014 </w:t>
      </w:r>
      <w:r w:rsidR="00317342" w:rsidRPr="009D4ED2">
        <w:t xml:space="preserve">Ex </w:t>
      </w:r>
      <w:r w:rsidR="00317342">
        <w:t>A</w:t>
      </w:r>
      <w:r w:rsidR="00317342" w:rsidRPr="009D4ED2">
        <w:t>nte Estimates</w:t>
      </w:r>
      <w:bookmarkEnd w:id="267"/>
    </w:p>
    <w:p w:rsidR="009A283D" w:rsidRDefault="009A283D" w:rsidP="009A283D">
      <w:pPr>
        <w:pStyle w:val="BodyParagraph"/>
      </w:pPr>
      <w:r>
        <w:t xml:space="preserve">Table 9-5 compares the </w:t>
      </w:r>
      <w:proofErr w:type="spellStart"/>
      <w:r>
        <w:t xml:space="preserve">ex </w:t>
      </w:r>
      <w:r w:rsidRPr="005207C2">
        <w:t>ante</w:t>
      </w:r>
      <w:proofErr w:type="spellEnd"/>
      <w:r>
        <w:t xml:space="preserve"> estimates produced for the 2013</w:t>
      </w:r>
      <w:r w:rsidRPr="005207C2">
        <w:t xml:space="preserve"> evaluation to those presented earlier</w:t>
      </w:r>
      <w:r>
        <w:t xml:space="preserve"> in this report</w:t>
      </w:r>
      <w:proofErr w:type="gramStart"/>
      <w:r w:rsidRPr="005207C2">
        <w:t xml:space="preserve">.  </w:t>
      </w:r>
      <w:proofErr w:type="gramEnd"/>
      <w:r>
        <w:t>Because ex ante impacts take into account changes in utility enrollment forecasts, program design and customer mix as well as additional experience, the forecasts are adjusted each year. In general, forecasts a year out are more reliable while forecasts further into the future are less certain</w:t>
      </w:r>
      <w:proofErr w:type="gramStart"/>
      <w:r>
        <w:t xml:space="preserve">.  </w:t>
      </w:r>
      <w:proofErr w:type="gramEnd"/>
      <w:r>
        <w:t>The largest changes observed in Table 9-5 are in the percentage load impact estimates and in the forecasted enrollments</w:t>
      </w:r>
      <w:proofErr w:type="gramStart"/>
      <w:r>
        <w:t xml:space="preserve">.  </w:t>
      </w:r>
      <w:proofErr w:type="gramEnd"/>
      <w:r>
        <w:t>The net effect is that this year’s forecast for 2015 is 25.2 MW, which is 35% higher than last year’s forecast of 18.8 due primarily</w:t>
      </w:r>
      <w:r w:rsidR="00691683">
        <w:t> </w:t>
      </w:r>
      <w:r>
        <w:t>to an increased enrollment forecast and higher percentage load impact estimates from</w:t>
      </w:r>
      <w:r w:rsidR="00691683">
        <w:t> </w:t>
      </w:r>
      <w:r>
        <w:t>this evaluation.</w:t>
      </w:r>
    </w:p>
    <w:p w:rsidR="009A283D" w:rsidRPr="00022617" w:rsidRDefault="009A283D" w:rsidP="007F5235">
      <w:pPr>
        <w:pStyle w:val="TableFigureCaption"/>
      </w:pPr>
      <w:r w:rsidRPr="00022617">
        <w:t>Table 9-</w:t>
      </w:r>
      <w:r>
        <w:t>5</w:t>
      </w:r>
      <w:r w:rsidRPr="00022617">
        <w:t>: Comparison of Ex Ante Estimates to Prior Year Estimates</w:t>
      </w:r>
    </w:p>
    <w:tbl>
      <w:tblPr>
        <w:tblW w:w="10400" w:type="dxa"/>
        <w:jc w:val="center"/>
        <w:tblInd w:w="93" w:type="dxa"/>
        <w:tblLook w:val="04A0" w:firstRow="1" w:lastRow="0" w:firstColumn="1" w:lastColumn="0" w:noHBand="0" w:noVBand="1"/>
      </w:tblPr>
      <w:tblGrid>
        <w:gridCol w:w="1040"/>
        <w:gridCol w:w="1040"/>
        <w:gridCol w:w="1161"/>
        <w:gridCol w:w="1161"/>
        <w:gridCol w:w="1161"/>
        <w:gridCol w:w="1161"/>
        <w:gridCol w:w="1161"/>
        <w:gridCol w:w="1161"/>
        <w:gridCol w:w="1161"/>
        <w:gridCol w:w="1161"/>
      </w:tblGrid>
      <w:tr w:rsidR="009A283D" w:rsidRPr="001A124A" w:rsidTr="006D677D">
        <w:trPr>
          <w:trHeight w:val="510"/>
          <w:jc w:val="center"/>
        </w:trPr>
        <w:tc>
          <w:tcPr>
            <w:tcW w:w="1040" w:type="dxa"/>
            <w:vMerge w:val="restart"/>
            <w:tcBorders>
              <w:top w:val="single" w:sz="4" w:space="0" w:color="000000"/>
              <w:left w:val="single" w:sz="4" w:space="0" w:color="000000"/>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Weather Year</w:t>
            </w:r>
          </w:p>
        </w:tc>
        <w:tc>
          <w:tcPr>
            <w:tcW w:w="1040" w:type="dxa"/>
            <w:vMerge w:val="restart"/>
            <w:tcBorders>
              <w:top w:val="single" w:sz="4" w:space="0" w:color="000000"/>
              <w:left w:val="single" w:sz="4" w:space="0" w:color="FFFFFF"/>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Year</w:t>
            </w:r>
          </w:p>
        </w:tc>
        <w:tc>
          <w:tcPr>
            <w:tcW w:w="208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Accounts</w:t>
            </w:r>
          </w:p>
        </w:tc>
        <w:tc>
          <w:tcPr>
            <w:tcW w:w="208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Reference Loads (MW)</w:t>
            </w:r>
          </w:p>
        </w:tc>
        <w:tc>
          <w:tcPr>
            <w:tcW w:w="2080" w:type="dxa"/>
            <w:gridSpan w:val="2"/>
            <w:tcBorders>
              <w:top w:val="single" w:sz="4" w:space="0" w:color="000000"/>
              <w:left w:val="nil"/>
              <w:bottom w:val="single" w:sz="4" w:space="0" w:color="FFFFFF"/>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Percent Reductions</w:t>
            </w:r>
          </w:p>
        </w:tc>
        <w:tc>
          <w:tcPr>
            <w:tcW w:w="2080" w:type="dxa"/>
            <w:gridSpan w:val="2"/>
            <w:tcBorders>
              <w:top w:val="single" w:sz="4" w:space="0" w:color="000000"/>
              <w:left w:val="nil"/>
              <w:bottom w:val="single" w:sz="4" w:space="0" w:color="FFFFFF"/>
              <w:right w:val="single" w:sz="4" w:space="0" w:color="000000"/>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Aggregate Impacts (MW)</w:t>
            </w:r>
          </w:p>
        </w:tc>
      </w:tr>
      <w:tr w:rsidR="009A283D" w:rsidRPr="001A124A" w:rsidTr="006D677D">
        <w:trPr>
          <w:trHeight w:val="510"/>
          <w:jc w:val="center"/>
        </w:trPr>
        <w:tc>
          <w:tcPr>
            <w:tcW w:w="1040" w:type="dxa"/>
            <w:vMerge/>
            <w:tcBorders>
              <w:top w:val="single" w:sz="4" w:space="0" w:color="000000"/>
              <w:left w:val="single" w:sz="4" w:space="0" w:color="000000"/>
              <w:bottom w:val="single" w:sz="4" w:space="0" w:color="000000"/>
              <w:right w:val="single" w:sz="4" w:space="0" w:color="FFFFFF"/>
            </w:tcBorders>
            <w:vAlign w:val="center"/>
            <w:hideMark/>
          </w:tcPr>
          <w:p w:rsidR="009A283D" w:rsidRPr="001A124A" w:rsidRDefault="009A283D" w:rsidP="007F5235">
            <w:pPr>
              <w:keepNext/>
              <w:spacing w:after="0" w:line="240" w:lineRule="auto"/>
              <w:rPr>
                <w:rFonts w:ascii="Arial" w:eastAsia="Times New Roman" w:hAnsi="Arial" w:cs="Arial"/>
                <w:b/>
                <w:bCs/>
                <w:color w:val="FFFFFF"/>
                <w:sz w:val="20"/>
                <w:szCs w:val="20"/>
              </w:rPr>
            </w:pPr>
          </w:p>
        </w:tc>
        <w:tc>
          <w:tcPr>
            <w:tcW w:w="1040" w:type="dxa"/>
            <w:vMerge/>
            <w:tcBorders>
              <w:top w:val="single" w:sz="4" w:space="0" w:color="000000"/>
              <w:left w:val="single" w:sz="4" w:space="0" w:color="FFFFFF"/>
              <w:bottom w:val="single" w:sz="4" w:space="0" w:color="000000"/>
              <w:right w:val="single" w:sz="4" w:space="0" w:color="FFFFFF"/>
            </w:tcBorders>
            <w:vAlign w:val="center"/>
            <w:hideMark/>
          </w:tcPr>
          <w:p w:rsidR="009A283D" w:rsidRPr="001A124A" w:rsidRDefault="009A283D" w:rsidP="007F5235">
            <w:pPr>
              <w:keepNext/>
              <w:spacing w:after="0" w:line="240" w:lineRule="auto"/>
              <w:rPr>
                <w:rFonts w:ascii="Arial" w:eastAsia="Times New Roman" w:hAnsi="Arial" w:cs="Arial"/>
                <w:b/>
                <w:bCs/>
                <w:color w:val="FFFFFF"/>
                <w:sz w:val="20"/>
                <w:szCs w:val="20"/>
              </w:rPr>
            </w:pP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2013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2014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2014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2014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2013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2014 Estimates</w:t>
            </w:r>
          </w:p>
        </w:tc>
        <w:tc>
          <w:tcPr>
            <w:tcW w:w="1040" w:type="dxa"/>
            <w:tcBorders>
              <w:top w:val="nil"/>
              <w:left w:val="nil"/>
              <w:bottom w:val="single" w:sz="4" w:space="0" w:color="000000"/>
              <w:right w:val="single" w:sz="4" w:space="0" w:color="FFFFFF"/>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2013 Estimates</w:t>
            </w:r>
          </w:p>
        </w:tc>
        <w:tc>
          <w:tcPr>
            <w:tcW w:w="1040" w:type="dxa"/>
            <w:tcBorders>
              <w:top w:val="nil"/>
              <w:left w:val="nil"/>
              <w:bottom w:val="single" w:sz="4" w:space="0" w:color="000000"/>
              <w:right w:val="single" w:sz="4" w:space="0" w:color="000000"/>
            </w:tcBorders>
            <w:shd w:val="clear" w:color="000000" w:fill="0070CD"/>
            <w:vAlign w:val="center"/>
            <w:hideMark/>
          </w:tcPr>
          <w:p w:rsidR="009A283D" w:rsidRPr="001A124A" w:rsidRDefault="009A283D" w:rsidP="007F5235">
            <w:pPr>
              <w:keepNext/>
              <w:spacing w:after="0" w:line="240" w:lineRule="auto"/>
              <w:jc w:val="center"/>
              <w:rPr>
                <w:rFonts w:ascii="Arial" w:eastAsia="Times New Roman" w:hAnsi="Arial" w:cs="Arial"/>
                <w:b/>
                <w:bCs/>
                <w:color w:val="FFFFFF"/>
                <w:sz w:val="20"/>
                <w:szCs w:val="20"/>
              </w:rPr>
            </w:pPr>
            <w:r w:rsidRPr="001A124A">
              <w:rPr>
                <w:rFonts w:ascii="Arial" w:eastAsia="Times New Roman" w:hAnsi="Arial" w:cs="Arial"/>
                <w:b/>
                <w:bCs/>
                <w:color w:val="FFFFFF"/>
                <w:sz w:val="20"/>
                <w:szCs w:val="20"/>
              </w:rPr>
              <w:t>2014 Estimates</w:t>
            </w:r>
          </w:p>
        </w:tc>
      </w:tr>
      <w:tr w:rsidR="009A283D" w:rsidRPr="001A124A" w:rsidTr="006D677D">
        <w:trPr>
          <w:trHeight w:val="360"/>
          <w:jc w:val="center"/>
        </w:trPr>
        <w:tc>
          <w:tcPr>
            <w:tcW w:w="104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1-in-10</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2015</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1,164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1,253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274.3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257.4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6.7%</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8.5%</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21.4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27.4</w:t>
            </w:r>
          </w:p>
        </w:tc>
      </w:tr>
      <w:tr w:rsidR="009A283D" w:rsidRPr="001A124A" w:rsidTr="006D677D">
        <w:trPr>
          <w:trHeight w:val="360"/>
          <w:jc w:val="center"/>
        </w:trPr>
        <w:tc>
          <w:tcPr>
            <w:tcW w:w="1040" w:type="dxa"/>
            <w:vMerge/>
            <w:tcBorders>
              <w:top w:val="nil"/>
              <w:left w:val="single" w:sz="4" w:space="0" w:color="000000"/>
              <w:bottom w:val="single" w:sz="4" w:space="0" w:color="000000"/>
              <w:right w:val="single" w:sz="4" w:space="0" w:color="000000"/>
            </w:tcBorders>
            <w:vAlign w:val="center"/>
            <w:hideMark/>
          </w:tcPr>
          <w:p w:rsidR="009A283D" w:rsidRPr="001A124A" w:rsidRDefault="009A283D" w:rsidP="007F5235">
            <w:pPr>
              <w:keepNext/>
              <w:spacing w:after="0" w:line="240" w:lineRule="auto"/>
              <w:rPr>
                <w:rFonts w:ascii="Arial" w:eastAsia="Times New Roman" w:hAnsi="Arial" w:cs="Arial"/>
                <w:color w:val="000000"/>
                <w:sz w:val="20"/>
                <w:szCs w:val="20"/>
              </w:rPr>
            </w:pP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2016</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1,193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1,267</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274.3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257.4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6.7%</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8.5%</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22.0</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27.6</w:t>
            </w:r>
          </w:p>
        </w:tc>
      </w:tr>
      <w:tr w:rsidR="009A283D" w:rsidRPr="001A124A" w:rsidTr="006D677D">
        <w:trPr>
          <w:trHeight w:val="255"/>
          <w:jc w:val="center"/>
        </w:trPr>
        <w:tc>
          <w:tcPr>
            <w:tcW w:w="1040" w:type="dxa"/>
            <w:vMerge/>
            <w:tcBorders>
              <w:top w:val="nil"/>
              <w:left w:val="single" w:sz="4" w:space="0" w:color="000000"/>
              <w:bottom w:val="single" w:sz="4" w:space="0" w:color="000000"/>
              <w:right w:val="single" w:sz="4" w:space="0" w:color="000000"/>
            </w:tcBorders>
            <w:vAlign w:val="center"/>
            <w:hideMark/>
          </w:tcPr>
          <w:p w:rsidR="009A283D" w:rsidRPr="001A124A" w:rsidRDefault="009A283D" w:rsidP="007F5235">
            <w:pPr>
              <w:keepNext/>
              <w:spacing w:after="0" w:line="240" w:lineRule="auto"/>
              <w:rPr>
                <w:rFonts w:ascii="Arial" w:eastAsia="Times New Roman" w:hAnsi="Arial" w:cs="Arial"/>
                <w:color w:val="000000"/>
                <w:sz w:val="20"/>
                <w:szCs w:val="20"/>
              </w:rPr>
            </w:pP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2024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1,318</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1,389</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274.3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257.1</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6.7%</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24.3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30.0</w:t>
            </w:r>
          </w:p>
        </w:tc>
      </w:tr>
      <w:tr w:rsidR="009A283D" w:rsidRPr="001A124A" w:rsidTr="006D677D">
        <w:trPr>
          <w:trHeight w:val="255"/>
          <w:jc w:val="center"/>
        </w:trPr>
        <w:tc>
          <w:tcPr>
            <w:tcW w:w="104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1-in-2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2015</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1,164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1,253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261.1</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246.2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18.8</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25.2</w:t>
            </w:r>
          </w:p>
        </w:tc>
      </w:tr>
      <w:tr w:rsidR="009A283D" w:rsidRPr="001A124A" w:rsidTr="006D677D">
        <w:trPr>
          <w:trHeight w:val="255"/>
          <w:jc w:val="center"/>
        </w:trPr>
        <w:tc>
          <w:tcPr>
            <w:tcW w:w="1040" w:type="dxa"/>
            <w:vMerge/>
            <w:tcBorders>
              <w:top w:val="nil"/>
              <w:left w:val="single" w:sz="4" w:space="0" w:color="000000"/>
              <w:bottom w:val="single" w:sz="4" w:space="0" w:color="000000"/>
              <w:right w:val="single" w:sz="4" w:space="0" w:color="000000"/>
            </w:tcBorders>
            <w:vAlign w:val="center"/>
            <w:hideMark/>
          </w:tcPr>
          <w:p w:rsidR="009A283D" w:rsidRPr="001A124A" w:rsidRDefault="009A283D" w:rsidP="007F5235">
            <w:pPr>
              <w:keepNext/>
              <w:spacing w:after="0" w:line="240" w:lineRule="auto"/>
              <w:rPr>
                <w:rFonts w:ascii="Arial" w:eastAsia="Times New Roman" w:hAnsi="Arial" w:cs="Arial"/>
                <w:color w:val="000000"/>
                <w:sz w:val="20"/>
                <w:szCs w:val="20"/>
              </w:rPr>
            </w:pP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2016</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1,193</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1,267</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261.1</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246.2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19.2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7F5235">
            <w:pPr>
              <w:keepNext/>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25.4</w:t>
            </w:r>
          </w:p>
        </w:tc>
      </w:tr>
      <w:tr w:rsidR="009A283D" w:rsidRPr="001A124A" w:rsidTr="006D677D">
        <w:trPr>
          <w:trHeight w:val="255"/>
          <w:jc w:val="center"/>
        </w:trPr>
        <w:tc>
          <w:tcPr>
            <w:tcW w:w="1040" w:type="dxa"/>
            <w:vMerge/>
            <w:tcBorders>
              <w:top w:val="nil"/>
              <w:left w:val="single" w:sz="4" w:space="0" w:color="000000"/>
              <w:bottom w:val="single" w:sz="4" w:space="0" w:color="000000"/>
              <w:right w:val="single" w:sz="4" w:space="0" w:color="000000"/>
            </w:tcBorders>
            <w:vAlign w:val="center"/>
            <w:hideMark/>
          </w:tcPr>
          <w:p w:rsidR="009A283D" w:rsidRPr="001A124A" w:rsidRDefault="009A283D" w:rsidP="006D677D">
            <w:pPr>
              <w:spacing w:after="0" w:line="240" w:lineRule="auto"/>
              <w:rPr>
                <w:rFonts w:ascii="Arial" w:eastAsia="Times New Roman" w:hAnsi="Arial" w:cs="Arial"/>
                <w:color w:val="000000"/>
                <w:sz w:val="20"/>
                <w:szCs w:val="20"/>
              </w:rPr>
            </w:pP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2024</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1,318</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1,389</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261.1</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245.9</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6.2%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8.1%</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21.2</w:t>
            </w:r>
          </w:p>
        </w:tc>
        <w:tc>
          <w:tcPr>
            <w:tcW w:w="1040" w:type="dxa"/>
            <w:tcBorders>
              <w:top w:val="nil"/>
              <w:left w:val="nil"/>
              <w:bottom w:val="single" w:sz="4" w:space="0" w:color="000000"/>
              <w:right w:val="single" w:sz="4" w:space="0" w:color="000000"/>
            </w:tcBorders>
            <w:shd w:val="clear" w:color="auto" w:fill="auto"/>
            <w:noWrap/>
            <w:vAlign w:val="center"/>
            <w:hideMark/>
          </w:tcPr>
          <w:p w:rsidR="009A283D" w:rsidRPr="001A124A" w:rsidRDefault="009A283D" w:rsidP="006D677D">
            <w:pPr>
              <w:spacing w:after="0" w:line="240" w:lineRule="auto"/>
              <w:jc w:val="center"/>
              <w:rPr>
                <w:rFonts w:ascii="Arial" w:eastAsia="Times New Roman" w:hAnsi="Arial" w:cs="Arial"/>
                <w:color w:val="000000"/>
                <w:sz w:val="20"/>
                <w:szCs w:val="20"/>
              </w:rPr>
            </w:pPr>
            <w:r w:rsidRPr="001A124A">
              <w:rPr>
                <w:rFonts w:ascii="Arial" w:eastAsia="Times New Roman" w:hAnsi="Arial" w:cs="Arial"/>
                <w:color w:val="000000"/>
                <w:sz w:val="20"/>
                <w:szCs w:val="20"/>
              </w:rPr>
              <w:t>27.6</w:t>
            </w:r>
          </w:p>
        </w:tc>
      </w:tr>
    </w:tbl>
    <w:p w:rsidR="009A283D" w:rsidRDefault="009A283D" w:rsidP="00A945AF">
      <w:pPr>
        <w:pStyle w:val="Heading3"/>
      </w:pPr>
      <w:bookmarkStart w:id="268" w:name="_Toc415494813"/>
      <w:r>
        <w:lastRenderedPageBreak/>
        <w:t xml:space="preserve">Relationship </w:t>
      </w:r>
      <w:proofErr w:type="gramStart"/>
      <w:r w:rsidR="00691683">
        <w:t>B</w:t>
      </w:r>
      <w:r>
        <w:t>etween</w:t>
      </w:r>
      <w:proofErr w:type="gramEnd"/>
      <w:r>
        <w:t xml:space="preserve"> Ex Post and Ex Ante Estimates</w:t>
      </w:r>
      <w:bookmarkStart w:id="269" w:name="_Toc412650634"/>
      <w:bookmarkEnd w:id="268"/>
    </w:p>
    <w:p w:rsidR="009A283D" w:rsidRDefault="009A283D" w:rsidP="009A283D">
      <w:pPr>
        <w:pStyle w:val="BodyParagraph"/>
      </w:pPr>
      <w:r>
        <w:t xml:space="preserve">The ex post estimates presented in Section 8 and the </w:t>
      </w:r>
      <w:proofErr w:type="spellStart"/>
      <w:r>
        <w:t>ex ante</w:t>
      </w:r>
      <w:proofErr w:type="spellEnd"/>
      <w:r>
        <w:t xml:space="preserve"> estimates presented in this section differ for a number of reasons, including differences in weather, enrollment</w:t>
      </w:r>
      <w:r w:rsidR="00691683">
        <w:t xml:space="preserve"> </w:t>
      </w:r>
      <w:r>
        <w:t>and estimation methodology</w:t>
      </w:r>
      <w:proofErr w:type="gramStart"/>
      <w:r>
        <w:t xml:space="preserve">.  </w:t>
      </w:r>
      <w:proofErr w:type="gramEnd"/>
      <w:r>
        <w:t>This section discusses the impact of each of these factors on the difference between ex post and ex ante impact estimates.</w:t>
      </w:r>
    </w:p>
    <w:p w:rsidR="009A283D" w:rsidRDefault="009A283D" w:rsidP="009A283D">
      <w:pPr>
        <w:pStyle w:val="BodyParagraph"/>
        <w:rPr>
          <w:rFonts w:cs="Arial"/>
        </w:rPr>
      </w:pPr>
      <w:r>
        <w:rPr>
          <w:rFonts w:cs="Arial"/>
        </w:rPr>
        <w:t>Table 9-6</w:t>
      </w:r>
      <w:r w:rsidRPr="004378B3">
        <w:rPr>
          <w:rFonts w:cs="Arial"/>
        </w:rPr>
        <w:t xml:space="preserve"> summarizes key factors that lead to differences between ex post and ex ante estimates for </w:t>
      </w:r>
      <w:r>
        <w:rPr>
          <w:rFonts w:cs="Arial"/>
        </w:rPr>
        <w:t>CPP</w:t>
      </w:r>
      <w:r w:rsidRPr="004378B3">
        <w:rPr>
          <w:rFonts w:cs="Arial"/>
        </w:rPr>
        <w:t xml:space="preserve"> and the expected influence that these factors have on the relationship between ex post and ex ante impacts</w:t>
      </w:r>
      <w:proofErr w:type="gramStart"/>
      <w:r w:rsidRPr="004378B3">
        <w:rPr>
          <w:rFonts w:cs="Arial"/>
        </w:rPr>
        <w:t xml:space="preserve">.  </w:t>
      </w:r>
      <w:proofErr w:type="gramEnd"/>
      <w:r w:rsidRPr="004378B3">
        <w:rPr>
          <w:rFonts w:cs="Arial"/>
        </w:rPr>
        <w:t xml:space="preserve">Given that the </w:t>
      </w:r>
      <w:r>
        <w:rPr>
          <w:rFonts w:cs="Arial"/>
        </w:rPr>
        <w:t>CPP load impacts are</w:t>
      </w:r>
      <w:r w:rsidRPr="004378B3">
        <w:rPr>
          <w:rFonts w:cs="Arial"/>
        </w:rPr>
        <w:t xml:space="preserve"> sensitive to variation in weather, even small changes in </w:t>
      </w:r>
      <w:r w:rsidRPr="00A542A4">
        <w:rPr>
          <w:rFonts w:cs="Arial"/>
          <w:i/>
        </w:rPr>
        <w:t>mean</w:t>
      </w:r>
      <w:r w:rsidRPr="008028DC">
        <w:rPr>
          <w:rFonts w:cs="Arial"/>
          <w:i/>
        </w:rPr>
        <w:t>17</w:t>
      </w:r>
      <w:r w:rsidRPr="004378B3">
        <w:rPr>
          <w:rFonts w:cs="Arial"/>
        </w:rPr>
        <w:t xml:space="preserve"> between ex post and ex ante weather conditions can produce differences in load impacts</w:t>
      </w:r>
      <w:proofErr w:type="gramStart"/>
      <w:r w:rsidRPr="004378B3">
        <w:rPr>
          <w:rFonts w:cs="Arial"/>
        </w:rPr>
        <w:t xml:space="preserve">.  </w:t>
      </w:r>
      <w:proofErr w:type="gramEnd"/>
      <w:r w:rsidRPr="004378B3">
        <w:rPr>
          <w:rFonts w:cs="Arial"/>
        </w:rPr>
        <w:t>For the typical event day,</w:t>
      </w:r>
      <w:r w:rsidR="00691683">
        <w:rPr>
          <w:rFonts w:cs="Arial"/>
        </w:rPr>
        <w:t> </w:t>
      </w:r>
      <w:r w:rsidRPr="004378B3">
        <w:rPr>
          <w:rFonts w:cs="Arial"/>
        </w:rPr>
        <w:t>ex</w:t>
      </w:r>
      <w:r w:rsidR="00691683">
        <w:rPr>
          <w:rFonts w:cs="Arial"/>
        </w:rPr>
        <w:t> </w:t>
      </w:r>
      <w:r w:rsidRPr="004378B3">
        <w:rPr>
          <w:rFonts w:cs="Arial"/>
        </w:rPr>
        <w:t xml:space="preserve">ante impacts </w:t>
      </w:r>
      <w:r>
        <w:rPr>
          <w:rFonts w:cs="Arial"/>
        </w:rPr>
        <w:t>are</w:t>
      </w:r>
      <w:r w:rsidRPr="004378B3">
        <w:rPr>
          <w:rFonts w:cs="Arial"/>
        </w:rPr>
        <w:t xml:space="preserve"> s</w:t>
      </w:r>
      <w:r>
        <w:rPr>
          <w:rFonts w:cs="Arial"/>
        </w:rPr>
        <w:t>ignificantly</w:t>
      </w:r>
      <w:r w:rsidRPr="004378B3">
        <w:rPr>
          <w:rFonts w:cs="Arial"/>
        </w:rPr>
        <w:t xml:space="preserve"> </w:t>
      </w:r>
      <w:r>
        <w:rPr>
          <w:rFonts w:cs="Arial"/>
        </w:rPr>
        <w:t>lower</w:t>
      </w:r>
      <w:r w:rsidR="00A8674E" w:rsidRPr="00A8674E">
        <w:rPr>
          <w:rFonts w:cs="Arial"/>
        </w:rPr>
        <w:t xml:space="preserve"> </w:t>
      </w:r>
      <w:r w:rsidR="00A8674E">
        <w:rPr>
          <w:rFonts w:cs="Arial"/>
        </w:rPr>
        <w:t>than the ex post values</w:t>
      </w:r>
      <w:r>
        <w:rPr>
          <w:rFonts w:cs="Arial"/>
        </w:rPr>
        <w:t xml:space="preserve"> when based on SD</w:t>
      </w:r>
      <w:r w:rsidRPr="004378B3">
        <w:rPr>
          <w:rFonts w:cs="Arial"/>
        </w:rPr>
        <w:t xml:space="preserve">G&amp;E ex ante weather and </w:t>
      </w:r>
      <w:r>
        <w:rPr>
          <w:rFonts w:cs="Arial"/>
        </w:rPr>
        <w:t>also</w:t>
      </w:r>
      <w:r w:rsidR="00691683">
        <w:rPr>
          <w:rFonts w:cs="Arial"/>
        </w:rPr>
        <w:t> </w:t>
      </w:r>
      <w:r w:rsidR="00A8674E">
        <w:rPr>
          <w:rFonts w:cs="Arial"/>
        </w:rPr>
        <w:t>lower</w:t>
      </w:r>
      <w:r>
        <w:rPr>
          <w:rFonts w:cs="Arial"/>
        </w:rPr>
        <w:t xml:space="preserve"> than the </w:t>
      </w:r>
      <w:r w:rsidRPr="004378B3">
        <w:rPr>
          <w:rFonts w:cs="Arial"/>
        </w:rPr>
        <w:t>ex post values</w:t>
      </w:r>
      <w:r>
        <w:rPr>
          <w:rFonts w:cs="Arial"/>
        </w:rPr>
        <w:t xml:space="preserve"> when</w:t>
      </w:r>
      <w:r w:rsidRPr="004378B3">
        <w:rPr>
          <w:rFonts w:cs="Arial"/>
        </w:rPr>
        <w:t xml:space="preserve"> based on CAISO weather conditions</w:t>
      </w:r>
      <w:proofErr w:type="gramStart"/>
      <w:r w:rsidRPr="004378B3">
        <w:rPr>
          <w:rFonts w:cs="Arial"/>
        </w:rPr>
        <w:t xml:space="preserve">.  </w:t>
      </w:r>
      <w:proofErr w:type="gramEnd"/>
      <w:r w:rsidRPr="004378B3">
        <w:rPr>
          <w:rFonts w:cs="Arial"/>
        </w:rPr>
        <w:t xml:space="preserve">This change </w:t>
      </w:r>
      <w:r>
        <w:rPr>
          <w:rFonts w:cs="Arial"/>
        </w:rPr>
        <w:t>decreases</w:t>
      </w:r>
      <w:r w:rsidRPr="004378B3">
        <w:rPr>
          <w:rFonts w:cs="Arial"/>
        </w:rPr>
        <w:t xml:space="preserve"> the </w:t>
      </w:r>
      <w:proofErr w:type="spellStart"/>
      <w:r>
        <w:rPr>
          <w:rFonts w:cs="Arial"/>
        </w:rPr>
        <w:t>ex ante</w:t>
      </w:r>
      <w:proofErr w:type="spellEnd"/>
      <w:r>
        <w:rPr>
          <w:rFonts w:cs="Arial"/>
        </w:rPr>
        <w:t xml:space="preserve"> impacts by roughly 1</w:t>
      </w:r>
      <w:r w:rsidRPr="004378B3">
        <w:rPr>
          <w:rFonts w:cs="Arial"/>
        </w:rPr>
        <w:t>0%</w:t>
      </w:r>
      <w:r>
        <w:rPr>
          <w:rFonts w:cs="Arial"/>
        </w:rPr>
        <w:t xml:space="preserve"> for the typical event day under 1-in-2 SDG&amp;E weather conditions, as compared to the average 2014 event day</w:t>
      </w:r>
      <w:proofErr w:type="gramStart"/>
      <w:r w:rsidRPr="004378B3">
        <w:rPr>
          <w:rFonts w:cs="Arial"/>
        </w:rPr>
        <w:t xml:space="preserve">.  </w:t>
      </w:r>
      <w:proofErr w:type="gramEnd"/>
      <w:r w:rsidRPr="004378B3">
        <w:rPr>
          <w:rFonts w:cs="Arial"/>
        </w:rPr>
        <w:t>Changes in enrollment between the values used for ex post estimation and the 2015 enrollment values incr</w:t>
      </w:r>
      <w:r>
        <w:rPr>
          <w:rFonts w:cs="Arial"/>
        </w:rPr>
        <w:t>ease impact estimates by about 10</w:t>
      </w:r>
      <w:r w:rsidRPr="004378B3">
        <w:rPr>
          <w:rFonts w:cs="Arial"/>
        </w:rPr>
        <w:t>%</w:t>
      </w:r>
      <w:proofErr w:type="gramStart"/>
      <w:r w:rsidRPr="004378B3">
        <w:rPr>
          <w:rFonts w:cs="Arial"/>
        </w:rPr>
        <w:t xml:space="preserve">.  </w:t>
      </w:r>
      <w:proofErr w:type="gramEnd"/>
      <w:r w:rsidRPr="004378B3">
        <w:rPr>
          <w:rFonts w:cs="Arial"/>
        </w:rPr>
        <w:t xml:space="preserve">Finally, the fact that the </w:t>
      </w:r>
      <w:proofErr w:type="spellStart"/>
      <w:r w:rsidRPr="004378B3">
        <w:rPr>
          <w:rFonts w:cs="Arial"/>
        </w:rPr>
        <w:t>ex ante</w:t>
      </w:r>
      <w:proofErr w:type="spellEnd"/>
      <w:r w:rsidRPr="004378B3">
        <w:rPr>
          <w:rFonts w:cs="Arial"/>
        </w:rPr>
        <w:t xml:space="preserve"> model is based on ex post impacts from both 2013 and 2</w:t>
      </w:r>
      <w:r>
        <w:rPr>
          <w:rFonts w:cs="Arial"/>
        </w:rPr>
        <w:t>014 for persistent customers, which exhibit a stronger relationship with temperature, will result in slightly higher ex ante load impacts at higher temperature values than ex post impacts at similar values.</w:t>
      </w:r>
    </w:p>
    <w:p w:rsidR="009A283D" w:rsidRDefault="009A283D" w:rsidP="009A283D">
      <w:pPr>
        <w:pStyle w:val="BodyParagraph"/>
        <w:rPr>
          <w:rFonts w:cs="Arial"/>
        </w:rPr>
      </w:pPr>
    </w:p>
    <w:p w:rsidR="009A283D" w:rsidRDefault="009A283D" w:rsidP="009A283D">
      <w:pPr>
        <w:pStyle w:val="BodyParagraph"/>
        <w:rPr>
          <w:rFonts w:cs="Arial"/>
        </w:rPr>
      </w:pPr>
    </w:p>
    <w:p w:rsidR="009A283D" w:rsidRDefault="009A283D" w:rsidP="009A283D">
      <w:pPr>
        <w:pStyle w:val="BodyParagraph"/>
        <w:rPr>
          <w:rFonts w:cs="Arial"/>
        </w:rPr>
        <w:sectPr w:rsidR="009A283D" w:rsidSect="006D677D">
          <w:footerReference w:type="default" r:id="rId96"/>
          <w:pgSz w:w="12240" w:h="15840"/>
          <w:pgMar w:top="1440" w:right="1440" w:bottom="1440" w:left="1440" w:header="720" w:footer="720" w:gutter="0"/>
          <w:cols w:space="720"/>
          <w:docGrid w:linePitch="360"/>
        </w:sectPr>
      </w:pPr>
    </w:p>
    <w:p w:rsidR="009A283D" w:rsidRDefault="009A283D" w:rsidP="009A283D">
      <w:pPr>
        <w:pStyle w:val="TableFigureCaption"/>
      </w:pPr>
      <w:r>
        <w:lastRenderedPageBreak/>
        <w:t>Table 9-6</w:t>
      </w:r>
      <w:r w:rsidRPr="00CE3A74">
        <w:t xml:space="preserve">:  Summary of </w:t>
      </w:r>
      <w:r>
        <w:t xml:space="preserve">Factors Underlying Differences </w:t>
      </w:r>
      <w:proofErr w:type="gramStart"/>
      <w:r w:rsidR="00691683">
        <w:t>B</w:t>
      </w:r>
      <w:r w:rsidRPr="00CE3A74">
        <w:t>etween</w:t>
      </w:r>
      <w:proofErr w:type="gramEnd"/>
      <w:r w:rsidRPr="00CE3A74">
        <w:t xml:space="preserve"> Ex Post and Ex Ante Impacts for the </w:t>
      </w:r>
      <w:r>
        <w:t>Default CPP Customers for the Ex Ante Typical Event Day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D"/>
        <w:tblLayout w:type="fixed"/>
        <w:tblLook w:val="04A0" w:firstRow="1" w:lastRow="0" w:firstColumn="1" w:lastColumn="0" w:noHBand="0" w:noVBand="1"/>
      </w:tblPr>
      <w:tblGrid>
        <w:gridCol w:w="1458"/>
        <w:gridCol w:w="3330"/>
        <w:gridCol w:w="4950"/>
        <w:gridCol w:w="3330"/>
      </w:tblGrid>
      <w:tr w:rsidR="009A283D" w:rsidRPr="00981BF8" w:rsidTr="006D677D">
        <w:trPr>
          <w:trHeight w:val="525"/>
          <w:jc w:val="center"/>
        </w:trPr>
        <w:tc>
          <w:tcPr>
            <w:tcW w:w="1458" w:type="dxa"/>
            <w:tcBorders>
              <w:bottom w:val="single" w:sz="4" w:space="0" w:color="auto"/>
              <w:right w:val="single" w:sz="4" w:space="0" w:color="FFFFFF" w:themeColor="background1"/>
            </w:tcBorders>
            <w:shd w:val="clear" w:color="auto" w:fill="0070CD"/>
            <w:vAlign w:val="center"/>
            <w:hideMark/>
          </w:tcPr>
          <w:p w:rsidR="009A283D" w:rsidRPr="008F7A89" w:rsidRDefault="009A283D" w:rsidP="006D677D">
            <w:pPr>
              <w:pStyle w:val="TableHeader"/>
              <w:rPr>
                <w:rFonts w:cs="Arial"/>
              </w:rPr>
            </w:pPr>
            <w:r w:rsidRPr="008F7A89">
              <w:rPr>
                <w:rFonts w:cs="Arial"/>
              </w:rPr>
              <w:t>Factor</w:t>
            </w:r>
          </w:p>
        </w:tc>
        <w:tc>
          <w:tcPr>
            <w:tcW w:w="333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8F7A89" w:rsidRDefault="009A283D" w:rsidP="006D677D">
            <w:pPr>
              <w:pStyle w:val="TableHeader"/>
              <w:rPr>
                <w:rFonts w:cs="Arial"/>
              </w:rPr>
            </w:pPr>
            <w:r w:rsidRPr="008F7A89">
              <w:rPr>
                <w:rFonts w:cs="Arial"/>
              </w:rPr>
              <w:t>Ex Post</w:t>
            </w:r>
          </w:p>
        </w:tc>
        <w:tc>
          <w:tcPr>
            <w:tcW w:w="4950" w:type="dxa"/>
            <w:tcBorders>
              <w:left w:val="single" w:sz="4" w:space="0" w:color="FFFFFF" w:themeColor="background1"/>
              <w:bottom w:val="single" w:sz="4" w:space="0" w:color="auto"/>
              <w:right w:val="single" w:sz="4" w:space="0" w:color="FFFFFF" w:themeColor="background1"/>
            </w:tcBorders>
            <w:shd w:val="clear" w:color="auto" w:fill="0070CD"/>
            <w:vAlign w:val="center"/>
            <w:hideMark/>
          </w:tcPr>
          <w:p w:rsidR="009A283D" w:rsidRPr="008F7A89" w:rsidRDefault="009A283D" w:rsidP="006D677D">
            <w:pPr>
              <w:pStyle w:val="TableHeader"/>
              <w:rPr>
                <w:rFonts w:cs="Arial"/>
              </w:rPr>
            </w:pPr>
            <w:r w:rsidRPr="008F7A89">
              <w:rPr>
                <w:rFonts w:cs="Arial"/>
              </w:rPr>
              <w:t>Ex Ante</w:t>
            </w:r>
          </w:p>
        </w:tc>
        <w:tc>
          <w:tcPr>
            <w:tcW w:w="3330" w:type="dxa"/>
            <w:tcBorders>
              <w:left w:val="single" w:sz="4" w:space="0" w:color="FFFFFF" w:themeColor="background1"/>
              <w:bottom w:val="single" w:sz="4" w:space="0" w:color="auto"/>
            </w:tcBorders>
            <w:shd w:val="clear" w:color="auto" w:fill="0070CD"/>
            <w:vAlign w:val="center"/>
            <w:hideMark/>
          </w:tcPr>
          <w:p w:rsidR="009A283D" w:rsidRPr="008F7A89" w:rsidRDefault="009A283D" w:rsidP="006D677D">
            <w:pPr>
              <w:pStyle w:val="TableHeader"/>
              <w:rPr>
                <w:rFonts w:cs="Arial"/>
              </w:rPr>
            </w:pPr>
            <w:r w:rsidRPr="008F7A89">
              <w:rPr>
                <w:rFonts w:cs="Arial"/>
              </w:rPr>
              <w:t>Expected Impact</w:t>
            </w:r>
          </w:p>
        </w:tc>
      </w:tr>
      <w:tr w:rsidR="009A283D" w:rsidRPr="00981BF8" w:rsidTr="006D677D">
        <w:trPr>
          <w:trHeight w:val="1824"/>
          <w:jc w:val="center"/>
        </w:trPr>
        <w:tc>
          <w:tcPr>
            <w:tcW w:w="1458" w:type="dxa"/>
            <w:shd w:val="clear" w:color="auto" w:fill="FFFFFF" w:themeFill="background1"/>
            <w:noWrap/>
            <w:vAlign w:val="center"/>
            <w:hideMark/>
          </w:tcPr>
          <w:p w:rsidR="009A283D" w:rsidRPr="008F7A89" w:rsidRDefault="009A283D" w:rsidP="006D677D">
            <w:pPr>
              <w:pStyle w:val="TableText"/>
              <w:spacing w:before="100" w:after="100"/>
              <w:contextualSpacing/>
              <w:rPr>
                <w:rFonts w:cs="Arial"/>
                <w:highlight w:val="lightGray"/>
              </w:rPr>
            </w:pPr>
            <w:r w:rsidRPr="008F7A89">
              <w:rPr>
                <w:rFonts w:cs="Arial"/>
              </w:rPr>
              <w:t>Weather</w:t>
            </w:r>
          </w:p>
        </w:tc>
        <w:tc>
          <w:tcPr>
            <w:tcW w:w="3330" w:type="dxa"/>
            <w:shd w:val="clear" w:color="auto" w:fill="FFFFFF" w:themeFill="background1"/>
            <w:noWrap/>
            <w:vAlign w:val="center"/>
            <w:hideMark/>
          </w:tcPr>
          <w:p w:rsidR="009A283D" w:rsidRPr="008F7A89" w:rsidRDefault="009A283D" w:rsidP="008028DC">
            <w:pPr>
              <w:pStyle w:val="TableText"/>
              <w:spacing w:before="100" w:after="100"/>
              <w:contextualSpacing/>
              <w:jc w:val="left"/>
              <w:rPr>
                <w:rFonts w:cs="Arial"/>
              </w:rPr>
            </w:pPr>
            <w:r w:rsidRPr="008F7A89">
              <w:rPr>
                <w:rFonts w:cs="Arial"/>
              </w:rPr>
              <w:t>Default CPP customers:</w:t>
            </w:r>
          </w:p>
          <w:p w:rsidR="009A283D" w:rsidRPr="008F7A89" w:rsidRDefault="009A283D" w:rsidP="008028DC">
            <w:pPr>
              <w:pStyle w:val="TableText"/>
              <w:spacing w:before="100" w:after="100"/>
              <w:contextualSpacing/>
              <w:jc w:val="left"/>
              <w:rPr>
                <w:rFonts w:cs="Arial"/>
              </w:rPr>
            </w:pPr>
            <w:r>
              <w:rPr>
                <w:rFonts w:cs="Arial"/>
              </w:rPr>
              <w:t>58 &lt; event day mean17 &lt; 84</w:t>
            </w:r>
          </w:p>
          <w:p w:rsidR="009A283D" w:rsidRPr="008F7A89" w:rsidRDefault="009A283D" w:rsidP="008028DC">
            <w:pPr>
              <w:pStyle w:val="TableText"/>
              <w:spacing w:before="100" w:after="100"/>
              <w:contextualSpacing/>
              <w:jc w:val="left"/>
              <w:rPr>
                <w:rFonts w:cs="Arial"/>
              </w:rPr>
            </w:pPr>
            <w:r>
              <w:rPr>
                <w:rFonts w:cs="Arial"/>
              </w:rPr>
              <w:t>Average event day mean17 = 78</w:t>
            </w:r>
          </w:p>
          <w:p w:rsidR="009A283D" w:rsidRPr="008F7A89" w:rsidRDefault="009A283D" w:rsidP="008028DC">
            <w:pPr>
              <w:pStyle w:val="TableText"/>
              <w:spacing w:before="100" w:after="100"/>
              <w:contextualSpacing/>
              <w:jc w:val="left"/>
              <w:rPr>
                <w:rFonts w:cs="Arial"/>
                <w:highlight w:val="lightGray"/>
              </w:rPr>
            </w:pPr>
          </w:p>
        </w:tc>
        <w:tc>
          <w:tcPr>
            <w:tcW w:w="495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Program specific mean17 for</w:t>
            </w:r>
            <w:r>
              <w:rPr>
                <w:rFonts w:cs="Arial"/>
              </w:rPr>
              <w:t xml:space="preserve"> 1-in-2 typical event day = 72.5 and 73.2 for SD</w:t>
            </w:r>
            <w:r w:rsidRPr="008F7A89">
              <w:rPr>
                <w:rFonts w:cs="Arial"/>
              </w:rPr>
              <w:t>G&amp;E and CAISO weather, respectively</w:t>
            </w:r>
          </w:p>
          <w:p w:rsidR="009A283D" w:rsidRPr="008F7A89" w:rsidRDefault="009A283D" w:rsidP="008028DC">
            <w:pPr>
              <w:pStyle w:val="TableText"/>
              <w:spacing w:before="100" w:after="100"/>
              <w:contextualSpacing/>
              <w:jc w:val="left"/>
              <w:rPr>
                <w:rFonts w:cs="Arial"/>
              </w:rPr>
            </w:pPr>
            <w:r w:rsidRPr="008F7A89">
              <w:rPr>
                <w:rFonts w:cs="Arial"/>
              </w:rPr>
              <w:t xml:space="preserve">Program specific mean17 for </w:t>
            </w:r>
            <w:r>
              <w:rPr>
                <w:rFonts w:cs="Arial"/>
              </w:rPr>
              <w:t>1-in-10 typical event day = 77.5 and 76.0</w:t>
            </w:r>
            <w:r w:rsidR="00CC545C">
              <w:rPr>
                <w:rFonts w:cs="Arial"/>
              </w:rPr>
              <w:t xml:space="preserve"> for SD</w:t>
            </w:r>
            <w:r w:rsidRPr="008F7A89">
              <w:rPr>
                <w:rFonts w:cs="Arial"/>
              </w:rPr>
              <w:t xml:space="preserve">G&amp;E </w:t>
            </w:r>
            <w:r>
              <w:rPr>
                <w:rFonts w:cs="Arial"/>
              </w:rPr>
              <w:t>and CAISO weather, respectively</w:t>
            </w:r>
          </w:p>
        </w:tc>
        <w:tc>
          <w:tcPr>
            <w:tcW w:w="333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 xml:space="preserve">Ex ante estimates are sensitive to variation in mean17 – impacts will be </w:t>
            </w:r>
            <w:r>
              <w:rPr>
                <w:rFonts w:cs="Arial"/>
              </w:rPr>
              <w:t xml:space="preserve">lower </w:t>
            </w:r>
            <w:r w:rsidRPr="008F7A89">
              <w:rPr>
                <w:rFonts w:cs="Arial"/>
              </w:rPr>
              <w:t>based on</w:t>
            </w:r>
            <w:r>
              <w:rPr>
                <w:rFonts w:cs="Arial"/>
              </w:rPr>
              <w:t xml:space="preserve"> both</w:t>
            </w:r>
            <w:r w:rsidR="00CC545C">
              <w:rPr>
                <w:rFonts w:cs="Arial"/>
              </w:rPr>
              <w:t xml:space="preserve"> SD</w:t>
            </w:r>
            <w:r w:rsidRPr="008F7A89">
              <w:rPr>
                <w:rFonts w:cs="Arial"/>
              </w:rPr>
              <w:t>G&amp;E weather and CAISO weather</w:t>
            </w:r>
          </w:p>
        </w:tc>
      </w:tr>
      <w:tr w:rsidR="009A283D" w:rsidRPr="00981BF8" w:rsidTr="006D677D">
        <w:trPr>
          <w:trHeight w:val="772"/>
          <w:jc w:val="center"/>
        </w:trPr>
        <w:tc>
          <w:tcPr>
            <w:tcW w:w="1458" w:type="dxa"/>
            <w:shd w:val="clear" w:color="auto" w:fill="FFFFFF" w:themeFill="background1"/>
            <w:noWrap/>
            <w:vAlign w:val="center"/>
            <w:hideMark/>
          </w:tcPr>
          <w:p w:rsidR="009A283D" w:rsidRPr="008F7A89" w:rsidRDefault="009A283D" w:rsidP="006D677D">
            <w:pPr>
              <w:pStyle w:val="TableText"/>
              <w:spacing w:before="100" w:after="100"/>
              <w:contextualSpacing/>
              <w:rPr>
                <w:rFonts w:cs="Arial"/>
              </w:rPr>
            </w:pPr>
            <w:r w:rsidRPr="008F7A89">
              <w:rPr>
                <w:rFonts w:cs="Arial"/>
              </w:rPr>
              <w:t>Enrollment</w:t>
            </w:r>
          </w:p>
        </w:tc>
        <w:tc>
          <w:tcPr>
            <w:tcW w:w="3330" w:type="dxa"/>
            <w:shd w:val="clear" w:color="auto" w:fill="FFFFFF" w:themeFill="background1"/>
            <w:noWrap/>
            <w:vAlign w:val="center"/>
            <w:hideMark/>
          </w:tcPr>
          <w:p w:rsidR="009A283D" w:rsidRPr="008F7A89" w:rsidRDefault="009A283D" w:rsidP="008028DC">
            <w:pPr>
              <w:pStyle w:val="TableText"/>
              <w:spacing w:before="100" w:after="100"/>
              <w:contextualSpacing/>
              <w:jc w:val="left"/>
              <w:rPr>
                <w:rFonts w:cs="Arial"/>
              </w:rPr>
            </w:pPr>
            <w:r w:rsidRPr="008F7A89">
              <w:rPr>
                <w:rFonts w:cs="Arial"/>
              </w:rPr>
              <w:t>Enrollment remained fairly constant over the 2014 summer</w:t>
            </w:r>
          </w:p>
        </w:tc>
        <w:tc>
          <w:tcPr>
            <w:tcW w:w="495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2015 enrol</w:t>
            </w:r>
            <w:r>
              <w:rPr>
                <w:rFonts w:cs="Arial"/>
              </w:rPr>
              <w:t>lment is forecast to be about 10</w:t>
            </w:r>
            <w:r w:rsidRPr="008F7A89">
              <w:rPr>
                <w:rFonts w:cs="Arial"/>
              </w:rPr>
              <w:t>% higher</w:t>
            </w:r>
          </w:p>
        </w:tc>
        <w:tc>
          <w:tcPr>
            <w:tcW w:w="333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Ex</w:t>
            </w:r>
            <w:r>
              <w:rPr>
                <w:rFonts w:cs="Arial"/>
              </w:rPr>
              <w:t xml:space="preserve"> ante estimates will be about 10</w:t>
            </w:r>
            <w:r w:rsidRPr="008F7A89">
              <w:rPr>
                <w:rFonts w:cs="Arial"/>
              </w:rPr>
              <w:t>% higher than ex post</w:t>
            </w:r>
          </w:p>
        </w:tc>
      </w:tr>
      <w:tr w:rsidR="009A283D" w:rsidRPr="00981BF8" w:rsidTr="006D677D">
        <w:trPr>
          <w:trHeight w:val="2708"/>
          <w:jc w:val="center"/>
        </w:trPr>
        <w:tc>
          <w:tcPr>
            <w:tcW w:w="1458" w:type="dxa"/>
            <w:shd w:val="clear" w:color="auto" w:fill="FFFFFF" w:themeFill="background1"/>
            <w:noWrap/>
            <w:vAlign w:val="center"/>
            <w:hideMark/>
          </w:tcPr>
          <w:p w:rsidR="009A283D" w:rsidRPr="008F7A89" w:rsidRDefault="009A283D" w:rsidP="006D677D">
            <w:pPr>
              <w:pStyle w:val="TableText"/>
              <w:spacing w:before="100" w:after="100"/>
              <w:contextualSpacing/>
              <w:rPr>
                <w:rFonts w:cs="Arial"/>
              </w:rPr>
            </w:pPr>
            <w:r w:rsidRPr="008F7A89">
              <w:rPr>
                <w:rFonts w:cs="Arial"/>
              </w:rPr>
              <w:t>Methodology</w:t>
            </w:r>
          </w:p>
        </w:tc>
        <w:tc>
          <w:tcPr>
            <w:tcW w:w="333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2014 impacts based on combination of matched control groups and individual customer regressions</w:t>
            </w:r>
          </w:p>
        </w:tc>
        <w:tc>
          <w:tcPr>
            <w:tcW w:w="495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Impacts: regression of ex post percent impacts against mean17 for each hour using two years’ worth of ex post impacts for persistent customers</w:t>
            </w:r>
          </w:p>
          <w:p w:rsidR="009A283D" w:rsidRPr="008F7A89" w:rsidRDefault="009A283D" w:rsidP="008028DC">
            <w:pPr>
              <w:pStyle w:val="TableText"/>
              <w:spacing w:before="100" w:after="100"/>
              <w:contextualSpacing/>
              <w:jc w:val="left"/>
              <w:rPr>
                <w:rFonts w:cs="Arial"/>
              </w:rPr>
            </w:pPr>
            <w:r w:rsidRPr="008F7A89">
              <w:rPr>
                <w:rFonts w:cs="Arial"/>
              </w:rPr>
              <w:t>Reference Load: regression of kW against mean17 and date variables for each hour</w:t>
            </w:r>
            <w:r>
              <w:rPr>
                <w:rFonts w:cs="Arial"/>
              </w:rPr>
              <w:t xml:space="preserve"> using default </w:t>
            </w:r>
            <w:proofErr w:type="spellStart"/>
            <w:r>
              <w:rPr>
                <w:rFonts w:cs="Arial"/>
              </w:rPr>
              <w:t>cpp</w:t>
            </w:r>
            <w:proofErr w:type="spellEnd"/>
            <w:r>
              <w:rPr>
                <w:rFonts w:cs="Arial"/>
              </w:rPr>
              <w:t xml:space="preserve"> population</w:t>
            </w:r>
          </w:p>
        </w:tc>
        <w:tc>
          <w:tcPr>
            <w:tcW w:w="3330" w:type="dxa"/>
            <w:shd w:val="clear" w:color="auto" w:fill="FFFFFF" w:themeFill="background1"/>
            <w:vAlign w:val="center"/>
            <w:hideMark/>
          </w:tcPr>
          <w:p w:rsidR="009A283D" w:rsidRPr="008F7A89" w:rsidRDefault="009A283D" w:rsidP="008028DC">
            <w:pPr>
              <w:pStyle w:val="TableText"/>
              <w:spacing w:before="100" w:after="100"/>
              <w:contextualSpacing/>
              <w:jc w:val="left"/>
              <w:rPr>
                <w:rFonts w:cs="Arial"/>
              </w:rPr>
            </w:pPr>
            <w:r w:rsidRPr="008F7A89">
              <w:rPr>
                <w:rFonts w:cs="Arial"/>
              </w:rPr>
              <w:t>Pooled impacts from 2013 and 2014 for persistent customers exhibit a stronger temperature relationship than those for all customers</w:t>
            </w:r>
            <w:proofErr w:type="gramStart"/>
            <w:r w:rsidRPr="008F7A89">
              <w:rPr>
                <w:rFonts w:cs="Arial"/>
              </w:rPr>
              <w:t xml:space="preserve">.  </w:t>
            </w:r>
            <w:proofErr w:type="gramEnd"/>
            <w:r w:rsidRPr="008F7A89">
              <w:rPr>
                <w:rFonts w:cs="Arial"/>
              </w:rPr>
              <w:t>Impacts will be higher at higher temperatures and lower or similar at lower temperatures.</w:t>
            </w:r>
          </w:p>
          <w:p w:rsidR="009A283D" w:rsidRPr="008F7A89" w:rsidRDefault="009A283D" w:rsidP="008028DC">
            <w:pPr>
              <w:pStyle w:val="TableText"/>
              <w:spacing w:before="100" w:after="100"/>
              <w:contextualSpacing/>
              <w:jc w:val="left"/>
              <w:rPr>
                <w:rFonts w:cs="Arial"/>
              </w:rPr>
            </w:pPr>
            <w:r>
              <w:rPr>
                <w:rFonts w:cs="Arial"/>
              </w:rPr>
              <w:t xml:space="preserve">Reference load of the </w:t>
            </w:r>
            <w:proofErr w:type="spellStart"/>
            <w:r>
              <w:rPr>
                <w:rFonts w:cs="Arial"/>
              </w:rPr>
              <w:t>ex ante</w:t>
            </w:r>
            <w:proofErr w:type="spellEnd"/>
            <w:r>
              <w:rPr>
                <w:rFonts w:cs="Arial"/>
              </w:rPr>
              <w:t xml:space="preserve"> population is similar to that of </w:t>
            </w:r>
            <w:r w:rsidRPr="008F7A89">
              <w:rPr>
                <w:rFonts w:cs="Arial"/>
              </w:rPr>
              <w:t>the ex post population</w:t>
            </w:r>
            <w:r>
              <w:rPr>
                <w:rFonts w:cs="Arial"/>
              </w:rPr>
              <w:t>.</w:t>
            </w:r>
          </w:p>
        </w:tc>
      </w:tr>
    </w:tbl>
    <w:p w:rsidR="009A283D" w:rsidRDefault="009A283D" w:rsidP="009A283D">
      <w:pPr>
        <w:pStyle w:val="BodyParagraph"/>
      </w:pPr>
    </w:p>
    <w:p w:rsidR="009A283D" w:rsidRDefault="009A283D" w:rsidP="009A283D">
      <w:pPr>
        <w:pStyle w:val="BodyParagraph"/>
      </w:pPr>
    </w:p>
    <w:p w:rsidR="009A283D" w:rsidRDefault="009A283D" w:rsidP="009A283D">
      <w:pPr>
        <w:pStyle w:val="BodyParagraph"/>
      </w:pPr>
    </w:p>
    <w:p w:rsidR="009A283D" w:rsidRDefault="009A283D" w:rsidP="009A283D">
      <w:pPr>
        <w:pStyle w:val="BodyParagraph"/>
      </w:pPr>
    </w:p>
    <w:p w:rsidR="009A283D" w:rsidRDefault="009A283D" w:rsidP="009A283D">
      <w:pPr>
        <w:pStyle w:val="BodyParagraph"/>
      </w:pPr>
    </w:p>
    <w:p w:rsidR="009A283D" w:rsidRDefault="009A283D" w:rsidP="009A283D">
      <w:pPr>
        <w:pStyle w:val="BodyParagraph"/>
        <w:sectPr w:rsidR="009A283D" w:rsidSect="006D677D">
          <w:footerReference w:type="default" r:id="rId97"/>
          <w:pgSz w:w="15840" w:h="12240" w:orient="landscape"/>
          <w:pgMar w:top="1440" w:right="1440" w:bottom="1440" w:left="1440" w:header="720" w:footer="720" w:gutter="0"/>
          <w:cols w:space="720"/>
          <w:docGrid w:linePitch="360"/>
        </w:sectPr>
      </w:pPr>
    </w:p>
    <w:p w:rsidR="009A283D" w:rsidRDefault="009A283D" w:rsidP="009A283D">
      <w:pPr>
        <w:pStyle w:val="BodyParagraph"/>
      </w:pPr>
      <w:r>
        <w:lastRenderedPageBreak/>
        <w:t>Table 9-7 shows how aggregate load impacts change for large default CPP customers as a result of differences in the factors underlying ex post and ex ante estimates</w:t>
      </w:r>
      <w:proofErr w:type="gramStart"/>
      <w:r>
        <w:t xml:space="preserve">.  </w:t>
      </w:r>
      <w:proofErr w:type="gramEnd"/>
      <w:r>
        <w:t>The third column uses the 2014 ex post impacts shown in Table 8-1 and the projected enrollment for August of 2015 to produce a scaled-up ex post impact estimate</w:t>
      </w:r>
      <w:proofErr w:type="gramStart"/>
      <w:r>
        <w:t xml:space="preserve">.  </w:t>
      </w:r>
      <w:proofErr w:type="gramEnd"/>
      <w:r>
        <w:t>This leads to an average increase in load reductions of about 10%</w:t>
      </w:r>
      <w:proofErr w:type="gramStart"/>
      <w:r>
        <w:t xml:space="preserve">.  </w:t>
      </w:r>
      <w:proofErr w:type="gramEnd"/>
      <w:r>
        <w:t xml:space="preserve">The next column shows what the </w:t>
      </w:r>
      <w:proofErr w:type="spellStart"/>
      <w:r>
        <w:t>ex ante</w:t>
      </w:r>
      <w:proofErr w:type="spellEnd"/>
      <w:r>
        <w:t xml:space="preserve"> model would produce using the same August 2015 enrollment figures and the ex post weather conditions for each event day</w:t>
      </w:r>
      <w:proofErr w:type="gramStart"/>
      <w:r>
        <w:t xml:space="preserve">.  </w:t>
      </w:r>
      <w:proofErr w:type="gramEnd"/>
      <w:r>
        <w:t xml:space="preserve">The </w:t>
      </w:r>
      <w:proofErr w:type="spellStart"/>
      <w:r>
        <w:t>ex ante</w:t>
      </w:r>
      <w:proofErr w:type="spellEnd"/>
      <w:r>
        <w:t xml:space="preserve"> model predicts load reductions fairly accurately on average, but estimates tend to be higher on individual days, with the exception of the July 31 event</w:t>
      </w:r>
      <w:proofErr w:type="gramStart"/>
      <w:r>
        <w:t xml:space="preserve">.  </w:t>
      </w:r>
      <w:proofErr w:type="gramEnd"/>
      <w:r>
        <w:t>As discussed above, this is the result of estimating ex ante impacts using percent impacts from the persistent population’s 2013 and 2014 ex post values</w:t>
      </w:r>
      <w:proofErr w:type="gramStart"/>
      <w:r>
        <w:t xml:space="preserve">.  </w:t>
      </w:r>
      <w:proofErr w:type="gramEnd"/>
      <w:r>
        <w:t>The final four columns show how aggregate load reductions vary with the different ex ante weather scenarios</w:t>
      </w:r>
      <w:proofErr w:type="gramStart"/>
      <w:r>
        <w:t xml:space="preserve">.  </w:t>
      </w:r>
      <w:proofErr w:type="gramEnd"/>
      <w:r>
        <w:t>The impacts are similar across SDG&amp;E and CAISO weather scenarios</w:t>
      </w:r>
      <w:proofErr w:type="gramStart"/>
      <w:r>
        <w:t xml:space="preserve">. </w:t>
      </w:r>
      <w:r w:rsidR="00E34BD5">
        <w:t xml:space="preserve"> </w:t>
      </w:r>
      <w:proofErr w:type="gramEnd"/>
      <w:r>
        <w:t>On average across all event days, the impacts derived from the 1-in-10 conditions are most similar t</w:t>
      </w:r>
      <w:r w:rsidR="00CC545C">
        <w:t>o those derived using the 2014 SD</w:t>
      </w:r>
      <w:r>
        <w:t>G&amp;E ex post weather conditions, although the impacts are still lower than the average ex post day by about</w:t>
      </w:r>
      <w:r w:rsidR="00E34BD5">
        <w:t> </w:t>
      </w:r>
      <w:r>
        <w:t>11%.</w:t>
      </w:r>
    </w:p>
    <w:p w:rsidR="009A283D" w:rsidRDefault="009A283D" w:rsidP="009A283D">
      <w:pPr>
        <w:pStyle w:val="TableFigureCaption"/>
        <w:rPr>
          <w:noProof/>
        </w:rPr>
      </w:pPr>
      <w:r>
        <w:t xml:space="preserve">Table 9-7: Differences in Large </w:t>
      </w:r>
      <w:proofErr w:type="gramStart"/>
      <w:r>
        <w:t>C&amp;I</w:t>
      </w:r>
      <w:proofErr w:type="gramEnd"/>
      <w:r>
        <w:t xml:space="preserve"> Ex Post and Ex Ante Impacts Due to Key Factors</w:t>
      </w:r>
    </w:p>
    <w:tbl>
      <w:tblPr>
        <w:tblW w:w="10592" w:type="dxa"/>
        <w:jc w:val="center"/>
        <w:tblInd w:w="-795" w:type="dxa"/>
        <w:tblLook w:val="04A0" w:firstRow="1" w:lastRow="0" w:firstColumn="1" w:lastColumn="0" w:noHBand="0" w:noVBand="1"/>
      </w:tblPr>
      <w:tblGrid>
        <w:gridCol w:w="1106"/>
        <w:gridCol w:w="728"/>
        <w:gridCol w:w="1516"/>
        <w:gridCol w:w="1850"/>
        <w:gridCol w:w="1537"/>
        <w:gridCol w:w="850"/>
        <w:gridCol w:w="928"/>
        <w:gridCol w:w="941"/>
        <w:gridCol w:w="1136"/>
      </w:tblGrid>
      <w:tr w:rsidR="008028DC" w:rsidRPr="00B11041" w:rsidTr="008028DC">
        <w:trPr>
          <w:trHeight w:val="962"/>
          <w:jc w:val="center"/>
        </w:trPr>
        <w:tc>
          <w:tcPr>
            <w:tcW w:w="1106"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Date</w:t>
            </w:r>
          </w:p>
        </w:tc>
        <w:tc>
          <w:tcPr>
            <w:tcW w:w="728"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Mean 17</w:t>
            </w:r>
          </w:p>
        </w:tc>
        <w:tc>
          <w:tcPr>
            <w:tcW w:w="1516"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Enrollment-adjusted Ex Post Impact</w:t>
            </w:r>
          </w:p>
        </w:tc>
        <w:tc>
          <w:tcPr>
            <w:tcW w:w="1850"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Ex Post Impact with Ex Ante Enrollment</w:t>
            </w:r>
          </w:p>
        </w:tc>
        <w:tc>
          <w:tcPr>
            <w:tcW w:w="1537"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Ex Ante Model Ex Post Weather</w:t>
            </w:r>
          </w:p>
        </w:tc>
        <w:tc>
          <w:tcPr>
            <w:tcW w:w="850"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CAISO 1-in-2</w:t>
            </w:r>
          </w:p>
        </w:tc>
        <w:tc>
          <w:tcPr>
            <w:tcW w:w="928"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SDG&amp;E 1-in-2</w:t>
            </w:r>
          </w:p>
        </w:tc>
        <w:tc>
          <w:tcPr>
            <w:tcW w:w="941" w:type="dxa"/>
            <w:tcBorders>
              <w:top w:val="single" w:sz="4" w:space="0" w:color="auto"/>
              <w:left w:val="nil"/>
              <w:bottom w:val="single" w:sz="4" w:space="0" w:color="FFFFFF"/>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CAISO 1-in-10</w:t>
            </w:r>
          </w:p>
        </w:tc>
        <w:tc>
          <w:tcPr>
            <w:tcW w:w="1136" w:type="dxa"/>
            <w:tcBorders>
              <w:top w:val="single" w:sz="4" w:space="0" w:color="auto"/>
              <w:left w:val="nil"/>
              <w:bottom w:val="single" w:sz="4" w:space="0" w:color="FFFFFF"/>
              <w:right w:val="single" w:sz="4" w:space="0" w:color="auto"/>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SDG&amp;E 1-in-10</w:t>
            </w:r>
          </w:p>
        </w:tc>
      </w:tr>
      <w:tr w:rsidR="00263CB0" w:rsidRPr="00B11041" w:rsidTr="00263CB0">
        <w:trPr>
          <w:trHeight w:val="255"/>
          <w:jc w:val="center"/>
        </w:trPr>
        <w:tc>
          <w:tcPr>
            <w:tcW w:w="1106" w:type="dxa"/>
            <w:vMerge/>
            <w:tcBorders>
              <w:top w:val="single" w:sz="4" w:space="0" w:color="auto"/>
              <w:left w:val="single" w:sz="4" w:space="0" w:color="auto"/>
              <w:bottom w:val="single" w:sz="4" w:space="0" w:color="000000"/>
              <w:right w:val="single" w:sz="4" w:space="0" w:color="FFFFFF"/>
            </w:tcBorders>
            <w:vAlign w:val="center"/>
            <w:hideMark/>
          </w:tcPr>
          <w:p w:rsidR="009A283D" w:rsidRPr="00B11041" w:rsidRDefault="009A283D" w:rsidP="006D677D">
            <w:pPr>
              <w:spacing w:after="0" w:line="240" w:lineRule="auto"/>
              <w:rPr>
                <w:rFonts w:ascii="Arial" w:eastAsia="Times New Roman" w:hAnsi="Arial" w:cs="Arial"/>
                <w:b/>
                <w:bCs/>
                <w:color w:val="FFFFFF"/>
                <w:sz w:val="20"/>
                <w:szCs w:val="20"/>
              </w:rPr>
            </w:pPr>
          </w:p>
        </w:tc>
        <w:tc>
          <w:tcPr>
            <w:tcW w:w="728"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(F)</w:t>
            </w:r>
          </w:p>
        </w:tc>
        <w:tc>
          <w:tcPr>
            <w:tcW w:w="1516"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1850"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1537"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850"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928"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941" w:type="dxa"/>
            <w:tcBorders>
              <w:top w:val="nil"/>
              <w:left w:val="nil"/>
              <w:bottom w:val="single" w:sz="4" w:space="0" w:color="auto"/>
              <w:right w:val="single" w:sz="4" w:space="0" w:color="FFFFFF"/>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c>
          <w:tcPr>
            <w:tcW w:w="1136" w:type="dxa"/>
            <w:tcBorders>
              <w:top w:val="nil"/>
              <w:left w:val="nil"/>
              <w:bottom w:val="single" w:sz="4" w:space="0" w:color="auto"/>
              <w:right w:val="single" w:sz="4" w:space="0" w:color="auto"/>
            </w:tcBorders>
            <w:shd w:val="clear" w:color="000000" w:fill="0070CD"/>
            <w:vAlign w:val="center"/>
            <w:hideMark/>
          </w:tcPr>
          <w:p w:rsidR="009A283D" w:rsidRPr="00B11041" w:rsidRDefault="009A283D" w:rsidP="006D677D">
            <w:pPr>
              <w:spacing w:after="0" w:line="240" w:lineRule="auto"/>
              <w:jc w:val="center"/>
              <w:rPr>
                <w:rFonts w:ascii="Arial" w:eastAsia="Times New Roman" w:hAnsi="Arial" w:cs="Arial"/>
                <w:b/>
                <w:bCs/>
                <w:color w:val="FFFFFF"/>
                <w:sz w:val="20"/>
                <w:szCs w:val="20"/>
              </w:rPr>
            </w:pPr>
            <w:r w:rsidRPr="00B11041">
              <w:rPr>
                <w:rFonts w:ascii="Arial" w:eastAsia="Times New Roman" w:hAnsi="Arial" w:cs="Arial"/>
                <w:b/>
                <w:bCs/>
                <w:color w:val="FFFFFF"/>
                <w:sz w:val="20"/>
                <w:szCs w:val="20"/>
              </w:rPr>
              <w:t>(MW)</w:t>
            </w: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2/7/2014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57.5</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14.6</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16.1</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17.6</w:t>
            </w:r>
          </w:p>
        </w:tc>
        <w:tc>
          <w:tcPr>
            <w:tcW w:w="8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24.8</w:t>
            </w:r>
          </w:p>
        </w:tc>
        <w:tc>
          <w:tcPr>
            <w:tcW w:w="92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24.8</w:t>
            </w:r>
          </w:p>
        </w:tc>
        <w:tc>
          <w:tcPr>
            <w:tcW w:w="94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25.0</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25.0</w:t>
            </w: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5/15/2014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83.9</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24.3</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26.7</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31.6</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7/31/2014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75.4</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33.7</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37.0</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26.1</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9/15/2014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81.4</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26.3</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28.9</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29.8</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9/16/2014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84.1</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25.5</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28.0</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31.7</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9/17/2014</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83.1</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28.1</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30.8</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31.0</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r w:rsidR="00263CB0" w:rsidRPr="00B11041" w:rsidTr="00263CB0">
        <w:trPr>
          <w:trHeight w:val="255"/>
          <w:jc w:val="center"/>
        </w:trPr>
        <w:tc>
          <w:tcPr>
            <w:tcW w:w="1106" w:type="dxa"/>
            <w:tcBorders>
              <w:top w:val="nil"/>
              <w:left w:val="single" w:sz="4" w:space="0" w:color="auto"/>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Avg.</w:t>
            </w:r>
          </w:p>
        </w:tc>
        <w:tc>
          <w:tcPr>
            <w:tcW w:w="728"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77.6</w:t>
            </w:r>
          </w:p>
        </w:tc>
        <w:tc>
          <w:tcPr>
            <w:tcW w:w="1516"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25.4</w:t>
            </w:r>
          </w:p>
        </w:tc>
        <w:tc>
          <w:tcPr>
            <w:tcW w:w="1850"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27.9</w:t>
            </w:r>
          </w:p>
        </w:tc>
        <w:tc>
          <w:tcPr>
            <w:tcW w:w="1537" w:type="dxa"/>
            <w:tcBorders>
              <w:top w:val="nil"/>
              <w:left w:val="nil"/>
              <w:bottom w:val="single" w:sz="4" w:space="0" w:color="auto"/>
              <w:right w:val="single" w:sz="4" w:space="0" w:color="auto"/>
            </w:tcBorders>
            <w:shd w:val="clear" w:color="auto" w:fill="auto"/>
            <w:noWrap/>
            <w:vAlign w:val="center"/>
            <w:hideMark/>
          </w:tcPr>
          <w:p w:rsidR="009A283D" w:rsidRPr="00B11041" w:rsidRDefault="009A283D" w:rsidP="006D677D">
            <w:pPr>
              <w:spacing w:after="0" w:line="240" w:lineRule="auto"/>
              <w:jc w:val="center"/>
              <w:rPr>
                <w:rFonts w:ascii="Arial" w:eastAsia="Times New Roman" w:hAnsi="Arial" w:cs="Arial"/>
                <w:color w:val="000000"/>
                <w:sz w:val="20"/>
                <w:szCs w:val="20"/>
              </w:rPr>
            </w:pPr>
            <w:r w:rsidRPr="00B11041">
              <w:rPr>
                <w:rFonts w:ascii="Arial" w:eastAsia="Times New Roman" w:hAnsi="Arial" w:cs="Arial"/>
                <w:color w:val="000000"/>
                <w:sz w:val="20"/>
                <w:szCs w:val="20"/>
              </w:rPr>
              <w:t>28.0</w:t>
            </w:r>
          </w:p>
        </w:tc>
        <w:tc>
          <w:tcPr>
            <w:tcW w:w="850"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941" w:type="dxa"/>
            <w:vMerge/>
            <w:tcBorders>
              <w:top w:val="nil"/>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9A283D" w:rsidRPr="00B11041" w:rsidRDefault="009A283D" w:rsidP="006D677D">
            <w:pPr>
              <w:spacing w:after="0" w:line="240" w:lineRule="auto"/>
              <w:rPr>
                <w:rFonts w:ascii="Arial" w:eastAsia="Times New Roman" w:hAnsi="Arial" w:cs="Arial"/>
                <w:color w:val="000000"/>
                <w:sz w:val="20"/>
                <w:szCs w:val="20"/>
              </w:rPr>
            </w:pPr>
          </w:p>
        </w:tc>
      </w:tr>
    </w:tbl>
    <w:p w:rsidR="009A283D" w:rsidRDefault="009A283D" w:rsidP="009A283D">
      <w:pPr>
        <w:pStyle w:val="BodyParagraph"/>
      </w:pPr>
    </w:p>
    <w:p w:rsidR="009A283D" w:rsidRDefault="009A283D" w:rsidP="009A283D">
      <w:pPr>
        <w:pStyle w:val="BodyParagraph"/>
      </w:pPr>
    </w:p>
    <w:p w:rsidR="009A283D" w:rsidRDefault="009A283D" w:rsidP="009A283D">
      <w:pPr>
        <w:pStyle w:val="BodyParagraph"/>
        <w:sectPr w:rsidR="009A283D" w:rsidSect="006D677D">
          <w:footerReference w:type="default" r:id="rId98"/>
          <w:pgSz w:w="12240" w:h="15840"/>
          <w:pgMar w:top="1440" w:right="1440" w:bottom="1440" w:left="1440" w:header="720" w:footer="720" w:gutter="0"/>
          <w:cols w:space="720"/>
          <w:docGrid w:linePitch="360"/>
        </w:sectPr>
      </w:pPr>
    </w:p>
    <w:p w:rsidR="009A283D" w:rsidRDefault="009A283D" w:rsidP="009A283D">
      <w:pPr>
        <w:pStyle w:val="Heading2"/>
        <w:spacing w:before="360"/>
        <w:ind w:left="547" w:hanging="547"/>
      </w:pPr>
      <w:bookmarkStart w:id="270" w:name="_Toc415494814"/>
      <w:r>
        <w:lastRenderedPageBreak/>
        <w:t>Medium C&amp;I Ex Ante Impacts</w:t>
      </w:r>
      <w:bookmarkEnd w:id="263"/>
      <w:bookmarkEnd w:id="264"/>
      <w:bookmarkEnd w:id="265"/>
      <w:bookmarkEnd w:id="269"/>
      <w:bookmarkEnd w:id="270"/>
    </w:p>
    <w:p w:rsidR="00824191" w:rsidRDefault="00824191" w:rsidP="00824191">
      <w:pPr>
        <w:pStyle w:val="BodyParagraph"/>
        <w:tabs>
          <w:tab w:val="left" w:pos="4590"/>
        </w:tabs>
      </w:pPr>
      <w:r w:rsidRPr="00854013">
        <w:t>Overall, there is greater uncertainty regarding medium C&amp;I customer impacts under default CPP</w:t>
      </w:r>
      <w:proofErr w:type="gramStart"/>
      <w:r w:rsidRPr="00854013">
        <w:t xml:space="preserve">.  </w:t>
      </w:r>
      <w:proofErr w:type="gramEnd"/>
      <w:r w:rsidRPr="00854013">
        <w:t>To</w:t>
      </w:r>
      <w:r>
        <w:t> </w:t>
      </w:r>
      <w:r w:rsidRPr="00854013">
        <w:t>date, default CPP has been implemented on a very limited basis for medium customers and those medium C&amp;I customers who are on the rate are generally not representative of the medium C&amp;I sector as a whole</w:t>
      </w:r>
      <w:proofErr w:type="gramStart"/>
      <w:r w:rsidRPr="00854013">
        <w:t xml:space="preserve">.  </w:t>
      </w:r>
      <w:proofErr w:type="gramEnd"/>
      <w:r w:rsidRPr="00854013">
        <w:t>While some medium</w:t>
      </w:r>
      <w:r>
        <w:t xml:space="preserve"> customers volunteered onto CPP rates, their mix and demand reductions are not representative of the current and future medium default customer population</w:t>
      </w:r>
      <w:proofErr w:type="gramStart"/>
      <w:r>
        <w:t xml:space="preserve">.  </w:t>
      </w:r>
      <w:proofErr w:type="gramEnd"/>
      <w:r>
        <w:t>The few pilots that tested time varying pricing for small and medium businesses did not do so for default rates, but rather included only customers who volunteered into the pilots</w:t>
      </w:r>
      <w:proofErr w:type="gramStart"/>
      <w:r>
        <w:t xml:space="preserve">.  </w:t>
      </w:r>
      <w:proofErr w:type="gramEnd"/>
      <w:r>
        <w:t>Among such pilots is PG&amp;E’s EEP for small and medium CPP customers</w:t>
      </w:r>
      <w:proofErr w:type="gramStart"/>
      <w:r>
        <w:t xml:space="preserve">.  </w:t>
      </w:r>
      <w:proofErr w:type="gramEnd"/>
      <w:r>
        <w:t xml:space="preserve">In brief, the empirical data on medium customer response is limited.  </w:t>
      </w:r>
    </w:p>
    <w:p w:rsidR="00824191" w:rsidRDefault="00824191" w:rsidP="00824191">
      <w:pPr>
        <w:pStyle w:val="BodyParagraph"/>
        <w:tabs>
          <w:tab w:val="left" w:pos="4590"/>
        </w:tabs>
      </w:pPr>
      <w:r>
        <w:t xml:space="preserve">Previous studies </w:t>
      </w:r>
      <w:r w:rsidR="00A8674E">
        <w:t xml:space="preserve">of residential customers </w:t>
      </w:r>
      <w:r>
        <w:t>have shown that customers who enroll on an opt-in basis tend to be more engaged and deliver significantly larger percent reductions than those who enroll on a default basis.</w:t>
      </w:r>
      <w:r>
        <w:rPr>
          <w:rStyle w:val="FootnoteReference"/>
        </w:rPr>
        <w:footnoteReference w:id="32"/>
      </w:r>
      <w:proofErr w:type="gramStart"/>
      <w:r>
        <w:t xml:space="preserve">  </w:t>
      </w:r>
      <w:proofErr w:type="gramEnd"/>
      <w:r>
        <w:t>Nexant therefore used the PG&amp;E EPP CPP percent reductions as an upper bound for the expected response of defaulted small and medium customers, and adjusted the overall percent reduction downward</w:t>
      </w:r>
      <w:proofErr w:type="gramStart"/>
      <w:r>
        <w:t xml:space="preserve">.  </w:t>
      </w:r>
      <w:proofErr w:type="gramEnd"/>
      <w:r>
        <w:t>This yielded percent reductions of 2.5%</w:t>
      </w:r>
      <w:proofErr w:type="gramStart"/>
      <w:r>
        <w:t xml:space="preserve">. </w:t>
      </w:r>
      <w:r w:rsidR="007A31F4">
        <w:t xml:space="preserve"> </w:t>
      </w:r>
      <w:proofErr w:type="gramEnd"/>
      <w:r>
        <w:t>The reference loads were developed by using a sample of interval data for customers that are eligible to be defaulted in March 2016</w:t>
      </w:r>
      <w:proofErr w:type="gramStart"/>
      <w:r>
        <w:t xml:space="preserve">.  </w:t>
      </w:r>
      <w:proofErr w:type="gramEnd"/>
      <w:r>
        <w:t>We simply applied the percent reductions to the reference loads, with an awareness factor that increased from 0.7 in 2016 to 0.9 in 2018 onwards.</w:t>
      </w:r>
    </w:p>
    <w:p w:rsidR="00824191" w:rsidRDefault="00824191" w:rsidP="00824191">
      <w:pPr>
        <w:pStyle w:val="BodyParagraph"/>
        <w:tabs>
          <w:tab w:val="left" w:pos="4590"/>
        </w:tabs>
      </w:pPr>
      <w:r>
        <w:t>Table 9-8 presents SDG&amp;E's enrollment projections for medium C&amp;I customers through 2025</w:t>
      </w:r>
      <w:proofErr w:type="gramStart"/>
      <w:r>
        <w:t xml:space="preserve">.  </w:t>
      </w:r>
      <w:proofErr w:type="gramEnd"/>
      <w:r>
        <w:t>In March 2016, medium C&amp;I customers with at least 24</w:t>
      </w:r>
      <w:r w:rsidR="007A31F4">
        <w:t xml:space="preserve"> </w:t>
      </w:r>
      <w:r>
        <w:t>months of experience on a TOU rate will</w:t>
      </w:r>
      <w:r w:rsidR="00307F0C">
        <w:t> </w:t>
      </w:r>
      <w:r>
        <w:t>be defaulted onto CPP, leading to the increase in enrollment</w:t>
      </w:r>
      <w:proofErr w:type="gramStart"/>
      <w:r>
        <w:t xml:space="preserve">.  </w:t>
      </w:r>
      <w:proofErr w:type="gramEnd"/>
      <w:r>
        <w:t>Of the customers who were already defaulted in March 2016, 7,670 medium C&amp;I customers are projected to remain on CPP</w:t>
      </w:r>
      <w:r w:rsidR="00307F0C">
        <w:t> </w:t>
      </w:r>
      <w:r>
        <w:t>in March 2018</w:t>
      </w:r>
      <w:proofErr w:type="gramStart"/>
      <w:r>
        <w:t xml:space="preserve">.  </w:t>
      </w:r>
      <w:proofErr w:type="gramEnd"/>
      <w:r>
        <w:t>The enrollment is expected to increase slowly thereafter as a result of growth in accounts.</w:t>
      </w:r>
    </w:p>
    <w:p w:rsidR="00824191" w:rsidRPr="002617A0" w:rsidRDefault="00FC48DE" w:rsidP="00824191">
      <w:pPr>
        <w:pStyle w:val="TableFigureCaption"/>
        <w:spacing w:after="0"/>
      </w:pPr>
      <w:r>
        <w:t>Table 9-8: SDG&amp;E</w:t>
      </w:r>
      <w:r w:rsidR="00824191" w:rsidRPr="002617A0">
        <w:t xml:space="preserve"> Enrollment Projections for Medium </w:t>
      </w:r>
      <w:proofErr w:type="gramStart"/>
      <w:r w:rsidR="00824191" w:rsidRPr="002617A0">
        <w:t>C&amp;I</w:t>
      </w:r>
      <w:proofErr w:type="gramEnd"/>
      <w:r w:rsidR="00824191" w:rsidRPr="002617A0">
        <w:t xml:space="preserve"> CPP Customers</w:t>
      </w:r>
    </w:p>
    <w:p w:rsidR="00824191" w:rsidRDefault="00824191" w:rsidP="00824191">
      <w:pPr>
        <w:pStyle w:val="TableFigureCaption"/>
      </w:pPr>
      <w:proofErr w:type="gramStart"/>
      <w:r w:rsidRPr="002617A0">
        <w:t>by</w:t>
      </w:r>
      <w:proofErr w:type="gramEnd"/>
      <w:r w:rsidRPr="002617A0">
        <w:t xml:space="preserve"> Forecast Year and Month</w:t>
      </w:r>
    </w:p>
    <w:tbl>
      <w:tblPr>
        <w:tblW w:w="8540" w:type="dxa"/>
        <w:tblInd w:w="93" w:type="dxa"/>
        <w:tblLook w:val="04A0" w:firstRow="1" w:lastRow="0" w:firstColumn="1" w:lastColumn="0" w:noHBand="0" w:noVBand="1"/>
      </w:tblPr>
      <w:tblGrid>
        <w:gridCol w:w="661"/>
        <w:gridCol w:w="717"/>
        <w:gridCol w:w="717"/>
        <w:gridCol w:w="717"/>
        <w:gridCol w:w="717"/>
        <w:gridCol w:w="717"/>
        <w:gridCol w:w="717"/>
        <w:gridCol w:w="717"/>
        <w:gridCol w:w="717"/>
        <w:gridCol w:w="717"/>
        <w:gridCol w:w="717"/>
        <w:gridCol w:w="717"/>
        <w:gridCol w:w="717"/>
      </w:tblGrid>
      <w:tr w:rsidR="00824191" w:rsidRPr="00FF1055" w:rsidTr="00042853">
        <w:trPr>
          <w:trHeight w:val="255"/>
        </w:trPr>
        <w:tc>
          <w:tcPr>
            <w:tcW w:w="620" w:type="dxa"/>
            <w:tcBorders>
              <w:top w:val="single" w:sz="4" w:space="0" w:color="000000"/>
              <w:left w:val="single" w:sz="4" w:space="0" w:color="000000"/>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Year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Jan.</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Feb.</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Mar.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Apr.</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May</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Jun.</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Jul.</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Aug.</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Sep.</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Oct.</w:t>
            </w:r>
          </w:p>
        </w:tc>
        <w:tc>
          <w:tcPr>
            <w:tcW w:w="660" w:type="dxa"/>
            <w:tcBorders>
              <w:top w:val="single" w:sz="4" w:space="0" w:color="000000"/>
              <w:left w:val="nil"/>
              <w:bottom w:val="single" w:sz="4" w:space="0" w:color="000000"/>
              <w:right w:val="single" w:sz="4" w:space="0" w:color="FFFFFF"/>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Nov.</w:t>
            </w:r>
          </w:p>
        </w:tc>
        <w:tc>
          <w:tcPr>
            <w:tcW w:w="660" w:type="dxa"/>
            <w:tcBorders>
              <w:top w:val="single" w:sz="4" w:space="0" w:color="000000"/>
              <w:left w:val="nil"/>
              <w:bottom w:val="single" w:sz="4" w:space="0" w:color="000000"/>
              <w:right w:val="single" w:sz="4" w:space="0" w:color="000000"/>
            </w:tcBorders>
            <w:shd w:val="clear" w:color="000000" w:fill="0070CD"/>
            <w:noWrap/>
            <w:vAlign w:val="center"/>
            <w:hideMark/>
          </w:tcPr>
          <w:p w:rsidR="00824191" w:rsidRPr="00FF1055" w:rsidRDefault="00824191" w:rsidP="00307F0C">
            <w:pPr>
              <w:pStyle w:val="TableHeader"/>
              <w:rPr>
                <w:rFonts w:eastAsia="Times New Roman"/>
              </w:rPr>
            </w:pPr>
            <w:r w:rsidRPr="00FF1055">
              <w:rPr>
                <w:rFonts w:eastAsia="Times New Roman"/>
              </w:rPr>
              <w:t>Dec.</w:t>
            </w:r>
          </w:p>
        </w:tc>
      </w:tr>
      <w:tr w:rsidR="00824191" w:rsidRPr="00FF1055" w:rsidTr="00042853">
        <w:trPr>
          <w:trHeight w:val="255"/>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2016</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9,572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9,589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9,606</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9,623</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9,639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8,914</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8,929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8,944</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8,961</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8,976</w:t>
            </w:r>
          </w:p>
        </w:tc>
      </w:tr>
      <w:tr w:rsidR="00824191" w:rsidRPr="00FF1055" w:rsidTr="00042853">
        <w:trPr>
          <w:trHeight w:val="255"/>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2017</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9,160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9,173</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8,412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8,424</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8,437</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8,449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8,461</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8,050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8,062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8,073</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8,085</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8,097</w:t>
            </w:r>
          </w:p>
        </w:tc>
      </w:tr>
      <w:tr w:rsidR="00824191" w:rsidRPr="00FF1055" w:rsidTr="00042853">
        <w:trPr>
          <w:trHeight w:val="255"/>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2018</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8,106</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8,115</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7,662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7,670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7,679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7,687</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7,695</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7,704</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7,712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7,721</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7,729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7,738</w:t>
            </w:r>
          </w:p>
        </w:tc>
      </w:tr>
      <w:tr w:rsidR="00824191" w:rsidRPr="00FF1055" w:rsidTr="00042853">
        <w:trPr>
          <w:trHeight w:val="255"/>
        </w:trPr>
        <w:tc>
          <w:tcPr>
            <w:tcW w:w="620" w:type="dxa"/>
            <w:tcBorders>
              <w:top w:val="nil"/>
              <w:left w:val="single" w:sz="4" w:space="0" w:color="000000"/>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2025</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8,499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8,510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8,521</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8,532</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8,543</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8,555</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8,566</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8,577</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8,588</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8,599</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8,610</w:t>
            </w:r>
          </w:p>
        </w:tc>
        <w:tc>
          <w:tcPr>
            <w:tcW w:w="660" w:type="dxa"/>
            <w:tcBorders>
              <w:top w:val="nil"/>
              <w:left w:val="nil"/>
              <w:bottom w:val="single" w:sz="4" w:space="0" w:color="000000"/>
              <w:right w:val="single" w:sz="4" w:space="0" w:color="000000"/>
            </w:tcBorders>
            <w:shd w:val="clear" w:color="auto" w:fill="auto"/>
            <w:noWrap/>
            <w:vAlign w:val="center"/>
            <w:hideMark/>
          </w:tcPr>
          <w:p w:rsidR="00824191" w:rsidRPr="00FF1055" w:rsidRDefault="00824191" w:rsidP="00307F0C">
            <w:pPr>
              <w:pStyle w:val="TableText"/>
              <w:rPr>
                <w:rFonts w:eastAsia="Times New Roman"/>
              </w:rPr>
            </w:pPr>
            <w:r w:rsidRPr="00FF1055">
              <w:rPr>
                <w:rFonts w:eastAsia="Times New Roman"/>
              </w:rPr>
              <w:t>8,621</w:t>
            </w:r>
          </w:p>
        </w:tc>
      </w:tr>
    </w:tbl>
    <w:p w:rsidR="00824191" w:rsidRPr="00BC3E44" w:rsidRDefault="00824191" w:rsidP="00824191">
      <w:pPr>
        <w:pStyle w:val="BodyParagraph"/>
      </w:pPr>
    </w:p>
    <w:p w:rsidR="00824191" w:rsidRPr="004C65EF" w:rsidRDefault="00A77E68" w:rsidP="00824191">
      <w:pPr>
        <w:pStyle w:val="Heading3"/>
        <w:rPr>
          <w:rFonts w:cs="Calibri"/>
        </w:rPr>
      </w:pPr>
      <w:bookmarkStart w:id="271" w:name="_Toc415494815"/>
      <w:r>
        <w:t>Monthly</w:t>
      </w:r>
      <w:r w:rsidR="00824191" w:rsidRPr="004C65EF">
        <w:t xml:space="preserve"> System Peak Day Impacts</w:t>
      </w:r>
      <w:bookmarkEnd w:id="271"/>
    </w:p>
    <w:p w:rsidR="00824191" w:rsidRPr="004C65EF" w:rsidRDefault="00824191" w:rsidP="00824191">
      <w:pPr>
        <w:pStyle w:val="BodyParagraph"/>
      </w:pPr>
      <w:r w:rsidRPr="004C65EF">
        <w:t>Table</w:t>
      </w:r>
      <w:r>
        <w:t xml:space="preserve"> </w:t>
      </w:r>
      <w:r w:rsidR="007A31F4">
        <w:t>9</w:t>
      </w:r>
      <w:r>
        <w:t>-</w:t>
      </w:r>
      <w:r w:rsidR="007A31F4">
        <w:t>9</w:t>
      </w:r>
      <w:r w:rsidR="007A31F4" w:rsidRPr="004C65EF">
        <w:t xml:space="preserve"> </w:t>
      </w:r>
      <w:r w:rsidRPr="004C65EF">
        <w:t>summarizes the aggregate load impact estimates</w:t>
      </w:r>
      <w:r>
        <w:t xml:space="preserve"> for medium C&amp;I customers on SDG&amp;E</w:t>
      </w:r>
      <w:r w:rsidRPr="004C65EF">
        <w:t>’s CPP rate for each forecast year under both 1-in-2 and 1-in-10</w:t>
      </w:r>
      <w:r>
        <w:t xml:space="preserve"> year</w:t>
      </w:r>
      <w:r w:rsidRPr="004C65EF">
        <w:t xml:space="preserve"> weath</w:t>
      </w:r>
      <w:r>
        <w:t>er</w:t>
      </w:r>
      <w:r w:rsidRPr="004C65EF">
        <w:t xml:space="preserve"> scenarios</w:t>
      </w:r>
      <w:r>
        <w:t xml:space="preserve"> </w:t>
      </w:r>
      <w:r>
        <w:lastRenderedPageBreak/>
        <w:t>based on both SDG&amp;E and CAISO weather scenarios</w:t>
      </w:r>
      <w:proofErr w:type="gramStart"/>
      <w:r w:rsidRPr="004C65EF">
        <w:t xml:space="preserve">.  </w:t>
      </w:r>
      <w:proofErr w:type="gramEnd"/>
      <w:r w:rsidRPr="004C65EF">
        <w:t>The table shows the average load reduction across the 1</w:t>
      </w:r>
      <w:r w:rsidR="00FC29E3">
        <w:t>1 AM</w:t>
      </w:r>
      <w:r>
        <w:t xml:space="preserve"> to </w:t>
      </w:r>
      <w:r w:rsidRPr="004C65EF">
        <w:t>6 PM event period for an August monthly system peak day.</w:t>
      </w:r>
    </w:p>
    <w:p w:rsidR="00824191" w:rsidRDefault="00824191" w:rsidP="00824191">
      <w:pPr>
        <w:pStyle w:val="BodyParagraph"/>
      </w:pPr>
      <w:r>
        <w:t>Looking first at the aggregate load impacts based on SDG&amp;E-specific weather, August load reductions increase</w:t>
      </w:r>
      <w:r w:rsidRPr="004C65EF">
        <w:t xml:space="preserve"> </w:t>
      </w:r>
      <w:r>
        <w:t>from 9.0 MW in 2016 to 9.2 MW in 2017 under 1-in-10</w:t>
      </w:r>
      <w:r w:rsidRPr="004C65EF">
        <w:t xml:space="preserve"> weather conditions</w:t>
      </w:r>
      <w:r>
        <w:t>, and then increase to 11.1 MW in 2025</w:t>
      </w:r>
      <w:proofErr w:type="gramStart"/>
      <w:r w:rsidRPr="004C65EF">
        <w:t xml:space="preserve">.  </w:t>
      </w:r>
      <w:proofErr w:type="gramEnd"/>
      <w:r w:rsidRPr="004C65EF">
        <w:t>Once default CPP is fully implemented, medium customers are foreca</w:t>
      </w:r>
      <w:r>
        <w:t>sted to reduce 2.3</w:t>
      </w:r>
      <w:r w:rsidRPr="004C65EF">
        <w:t>% of their demand under</w:t>
      </w:r>
      <w:r>
        <w:t xml:space="preserve"> all weather conditions</w:t>
      </w:r>
      <w:proofErr w:type="gramStart"/>
      <w:r w:rsidRPr="004C65EF">
        <w:t>.</w:t>
      </w:r>
      <w:r>
        <w:t xml:space="preserve">  </w:t>
      </w:r>
      <w:proofErr w:type="gramEnd"/>
      <w:r>
        <w:t xml:space="preserve">The estimated percent reductions increase </w:t>
      </w:r>
      <w:r w:rsidR="004D5FAB">
        <w:t xml:space="preserve">as </w:t>
      </w:r>
      <w:r>
        <w:t>more customers become aware of the rate. Impact estimates based on CAISO weather 1-in-2 year conditions are roughly 2% higher than the estimates based on SDG&amp;E weather</w:t>
      </w:r>
      <w:proofErr w:type="gramStart"/>
      <w:r>
        <w:t xml:space="preserve">.  </w:t>
      </w:r>
      <w:proofErr w:type="gramEnd"/>
      <w:r>
        <w:t>The CAISO 1-in-10 weather values produce a load reduction that is also about 3% less than the 1-in-10 year SDG&amp;E estimates.</w:t>
      </w:r>
    </w:p>
    <w:p w:rsidR="00824191" w:rsidRDefault="00824191" w:rsidP="00824191">
      <w:pPr>
        <w:pStyle w:val="TableFigureCaption"/>
      </w:pPr>
      <w:r>
        <w:t xml:space="preserve">Table </w:t>
      </w:r>
      <w:r w:rsidR="007A31F4">
        <w:t>9</w:t>
      </w:r>
      <w:r>
        <w:t>-</w:t>
      </w:r>
      <w:r w:rsidR="007A31F4">
        <w:t>9</w:t>
      </w:r>
      <w:r w:rsidRPr="00817826">
        <w:t xml:space="preserve">: </w:t>
      </w:r>
      <w:r>
        <w:t xml:space="preserve">Aggregate </w:t>
      </w:r>
      <w:r w:rsidRPr="00817826">
        <w:t xml:space="preserve">Default CPP </w:t>
      </w:r>
      <w:proofErr w:type="gramStart"/>
      <w:r w:rsidRPr="00817826">
        <w:t>Ex</w:t>
      </w:r>
      <w:proofErr w:type="gramEnd"/>
      <w:r w:rsidRPr="00817826">
        <w:t xml:space="preserve"> Ante Load Impact Estimates by Weather Scenario for Medium C&amp;I</w:t>
      </w:r>
      <w:r w:rsidR="00FC48DE">
        <w:t>, SDG&amp;E</w:t>
      </w:r>
      <w:r w:rsidRPr="00817826">
        <w:t xml:space="preserve"> August System Peak Day (</w:t>
      </w:r>
      <w:r>
        <w:t>1</w:t>
      </w:r>
      <w:r w:rsidR="00FC29E3">
        <w:t>1 AM</w:t>
      </w:r>
      <w:r w:rsidR="00FC29E3">
        <w:rPr>
          <w:rFonts w:cs="Arial"/>
        </w:rPr>
        <w:t xml:space="preserve"> to 6</w:t>
      </w:r>
      <w:r w:rsidRPr="00817826">
        <w:t xml:space="preserve"> PM)</w:t>
      </w:r>
    </w:p>
    <w:tbl>
      <w:tblPr>
        <w:tblW w:w="11626" w:type="dxa"/>
        <w:jc w:val="center"/>
        <w:tblInd w:w="93" w:type="dxa"/>
        <w:tblLook w:val="04A0" w:firstRow="1" w:lastRow="0" w:firstColumn="1" w:lastColumn="0" w:noHBand="0" w:noVBand="1"/>
      </w:tblPr>
      <w:tblGrid>
        <w:gridCol w:w="1120"/>
        <w:gridCol w:w="927"/>
        <w:gridCol w:w="1120"/>
        <w:gridCol w:w="1037"/>
        <w:gridCol w:w="1879"/>
        <w:gridCol w:w="1829"/>
        <w:gridCol w:w="1498"/>
        <w:gridCol w:w="1096"/>
        <w:gridCol w:w="1120"/>
      </w:tblGrid>
      <w:tr w:rsidR="00824191" w:rsidRPr="008C1A79" w:rsidTr="00FC29E3">
        <w:trPr>
          <w:trHeight w:val="692"/>
          <w:jc w:val="center"/>
        </w:trPr>
        <w:tc>
          <w:tcPr>
            <w:tcW w:w="1120"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Weather Year</w:t>
            </w:r>
          </w:p>
        </w:tc>
        <w:tc>
          <w:tcPr>
            <w:tcW w:w="1120"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Enrolled Accounts</w:t>
            </w:r>
          </w:p>
        </w:tc>
        <w:tc>
          <w:tcPr>
            <w:tcW w:w="1879" w:type="dxa"/>
            <w:tcBorders>
              <w:top w:val="single" w:sz="4" w:space="0" w:color="auto"/>
              <w:left w:val="nil"/>
              <w:bottom w:val="single" w:sz="4" w:space="0" w:color="FFFFFF"/>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Reference Load</w:t>
            </w:r>
          </w:p>
        </w:tc>
        <w:tc>
          <w:tcPr>
            <w:tcW w:w="1829" w:type="dxa"/>
            <w:tcBorders>
              <w:top w:val="single" w:sz="4" w:space="0" w:color="auto"/>
              <w:left w:val="nil"/>
              <w:bottom w:val="single" w:sz="4" w:space="0" w:color="FFFFFF"/>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Estimated Load w/ DR</w:t>
            </w:r>
          </w:p>
        </w:tc>
        <w:tc>
          <w:tcPr>
            <w:tcW w:w="1498" w:type="dxa"/>
            <w:tcBorders>
              <w:top w:val="single" w:sz="4" w:space="0" w:color="auto"/>
              <w:left w:val="nil"/>
              <w:bottom w:val="single" w:sz="4" w:space="0" w:color="FFFFFF"/>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Load Impact</w:t>
            </w:r>
          </w:p>
        </w:tc>
        <w:tc>
          <w:tcPr>
            <w:tcW w:w="1096" w:type="dxa"/>
            <w:tcBorders>
              <w:top w:val="single" w:sz="4" w:space="0" w:color="auto"/>
              <w:left w:val="nil"/>
              <w:bottom w:val="single" w:sz="4" w:space="0" w:color="FFFFFF"/>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 Load Reduction</w:t>
            </w:r>
          </w:p>
        </w:tc>
        <w:tc>
          <w:tcPr>
            <w:tcW w:w="1120" w:type="dxa"/>
            <w:tcBorders>
              <w:top w:val="single" w:sz="4" w:space="0" w:color="auto"/>
              <w:left w:val="nil"/>
              <w:bottom w:val="single" w:sz="4" w:space="0" w:color="FFFFFF"/>
              <w:right w:val="single" w:sz="4" w:space="0" w:color="auto"/>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Weighted Temp.</w:t>
            </w:r>
          </w:p>
        </w:tc>
      </w:tr>
      <w:tr w:rsidR="00824191" w:rsidRPr="008C1A79" w:rsidTr="00FC29E3">
        <w:trPr>
          <w:trHeight w:val="350"/>
          <w:jc w:val="center"/>
        </w:trPr>
        <w:tc>
          <w:tcPr>
            <w:tcW w:w="1120" w:type="dxa"/>
            <w:vMerge/>
            <w:tcBorders>
              <w:top w:val="single" w:sz="4" w:space="0" w:color="auto"/>
              <w:left w:val="single" w:sz="4" w:space="0" w:color="auto"/>
              <w:bottom w:val="single" w:sz="4" w:space="0" w:color="000000"/>
              <w:right w:val="single" w:sz="4" w:space="0" w:color="FFFFFF"/>
            </w:tcBorders>
            <w:vAlign w:val="center"/>
            <w:hideMark/>
          </w:tcPr>
          <w:p w:rsidR="00824191" w:rsidRPr="00307F0C" w:rsidRDefault="00824191" w:rsidP="00042853">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824191" w:rsidRPr="00307F0C" w:rsidRDefault="00824191" w:rsidP="00042853">
            <w:pPr>
              <w:spacing w:after="0" w:line="240" w:lineRule="auto"/>
              <w:rPr>
                <w:rFonts w:ascii="Arial" w:eastAsia="Times New Roman" w:hAnsi="Arial" w:cs="Arial"/>
                <w:b/>
                <w:bCs/>
                <w:color w:val="FFFFFF"/>
                <w:sz w:val="18"/>
                <w:szCs w:val="18"/>
              </w:rPr>
            </w:pPr>
          </w:p>
        </w:tc>
        <w:tc>
          <w:tcPr>
            <w:tcW w:w="1120" w:type="dxa"/>
            <w:vMerge/>
            <w:tcBorders>
              <w:top w:val="single" w:sz="4" w:space="0" w:color="auto"/>
              <w:left w:val="single" w:sz="4" w:space="0" w:color="FFFFFF"/>
              <w:bottom w:val="single" w:sz="4" w:space="0" w:color="000000"/>
              <w:right w:val="single" w:sz="4" w:space="0" w:color="FFFFFF"/>
            </w:tcBorders>
            <w:vAlign w:val="center"/>
            <w:hideMark/>
          </w:tcPr>
          <w:p w:rsidR="00824191" w:rsidRPr="00307F0C" w:rsidRDefault="00824191" w:rsidP="00042853">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824191" w:rsidRPr="00307F0C" w:rsidRDefault="00824191" w:rsidP="00042853">
            <w:pPr>
              <w:spacing w:after="0" w:line="240" w:lineRule="auto"/>
              <w:rPr>
                <w:rFonts w:ascii="Arial" w:eastAsia="Times New Roman" w:hAnsi="Arial" w:cs="Arial"/>
                <w:b/>
                <w:bCs/>
                <w:color w:val="FFFFFF"/>
                <w:sz w:val="18"/>
                <w:szCs w:val="18"/>
              </w:rPr>
            </w:pPr>
          </w:p>
        </w:tc>
        <w:tc>
          <w:tcPr>
            <w:tcW w:w="1879" w:type="dxa"/>
            <w:tcBorders>
              <w:top w:val="nil"/>
              <w:left w:val="nil"/>
              <w:bottom w:val="single" w:sz="4" w:space="0" w:color="auto"/>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(MW  1</w:t>
            </w:r>
            <w:r w:rsidR="00FC29E3">
              <w:rPr>
                <w:rFonts w:ascii="Arial" w:eastAsia="Times New Roman" w:hAnsi="Arial" w:cs="Arial"/>
                <w:b/>
                <w:bCs/>
                <w:color w:val="FFFFFF"/>
                <w:sz w:val="18"/>
                <w:szCs w:val="18"/>
              </w:rPr>
              <w:t>1 AM</w:t>
            </w:r>
            <w:r w:rsidR="004D5FAB" w:rsidRPr="004D5FAB">
              <w:rPr>
                <w:rFonts w:ascii="Arial" w:eastAsia="Times New Roman" w:hAnsi="Arial" w:cs="Arial"/>
                <w:b/>
                <w:bCs/>
                <w:color w:val="FFFFFF"/>
                <w:sz w:val="18"/>
                <w:szCs w:val="18"/>
              </w:rPr>
              <w:t>–</w:t>
            </w:r>
            <w:r w:rsidRPr="00307F0C">
              <w:rPr>
                <w:rFonts w:ascii="Arial" w:eastAsia="Times New Roman" w:hAnsi="Arial" w:cs="Arial"/>
                <w:b/>
                <w:bCs/>
                <w:color w:val="FFFFFF"/>
                <w:sz w:val="18"/>
                <w:szCs w:val="18"/>
              </w:rPr>
              <w:t>6 PM)</w:t>
            </w:r>
          </w:p>
        </w:tc>
        <w:tc>
          <w:tcPr>
            <w:tcW w:w="1829" w:type="dxa"/>
            <w:tcBorders>
              <w:top w:val="nil"/>
              <w:left w:val="nil"/>
              <w:bottom w:val="single" w:sz="4" w:space="0" w:color="auto"/>
              <w:right w:val="single" w:sz="4" w:space="0" w:color="FFFFFF"/>
            </w:tcBorders>
            <w:shd w:val="clear" w:color="000000" w:fill="0070CD"/>
            <w:vAlign w:val="center"/>
            <w:hideMark/>
          </w:tcPr>
          <w:p w:rsidR="00824191" w:rsidRPr="00307F0C" w:rsidRDefault="00FC29E3" w:rsidP="00FC29E3">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(MW  </w:t>
            </w:r>
            <w:r w:rsidRPr="00307F0C">
              <w:rPr>
                <w:rFonts w:ascii="Arial" w:eastAsia="Times New Roman" w:hAnsi="Arial" w:cs="Arial"/>
                <w:b/>
                <w:bCs/>
                <w:color w:val="FFFFFF"/>
                <w:sz w:val="18"/>
                <w:szCs w:val="18"/>
              </w:rPr>
              <w:t>1</w:t>
            </w:r>
            <w:r>
              <w:rPr>
                <w:rFonts w:ascii="Arial" w:eastAsia="Times New Roman" w:hAnsi="Arial" w:cs="Arial"/>
                <w:b/>
                <w:bCs/>
                <w:color w:val="FFFFFF"/>
                <w:sz w:val="18"/>
                <w:szCs w:val="18"/>
              </w:rPr>
              <w:t>1 AM</w:t>
            </w:r>
            <w:r w:rsidR="004D5FAB" w:rsidRPr="004D5FAB">
              <w:rPr>
                <w:rFonts w:ascii="Arial" w:eastAsia="Times New Roman" w:hAnsi="Arial" w:cs="Arial"/>
                <w:b/>
                <w:bCs/>
                <w:color w:val="FFFFFF"/>
                <w:sz w:val="18"/>
                <w:szCs w:val="18"/>
              </w:rPr>
              <w:t>–</w:t>
            </w:r>
            <w:r w:rsidR="00824191" w:rsidRPr="00307F0C">
              <w:rPr>
                <w:rFonts w:ascii="Arial" w:eastAsia="Times New Roman" w:hAnsi="Arial" w:cs="Arial"/>
                <w:b/>
                <w:bCs/>
                <w:color w:val="FFFFFF"/>
                <w:sz w:val="18"/>
                <w:szCs w:val="18"/>
              </w:rPr>
              <w:t>6 PM)</w:t>
            </w:r>
          </w:p>
        </w:tc>
        <w:tc>
          <w:tcPr>
            <w:tcW w:w="1498" w:type="dxa"/>
            <w:tcBorders>
              <w:top w:val="nil"/>
              <w:left w:val="nil"/>
              <w:bottom w:val="single" w:sz="4" w:space="0" w:color="auto"/>
              <w:right w:val="single" w:sz="4" w:space="0" w:color="FFFFFF"/>
            </w:tcBorders>
            <w:shd w:val="clear" w:color="000000" w:fill="0070CD"/>
            <w:vAlign w:val="center"/>
            <w:hideMark/>
          </w:tcPr>
          <w:p w:rsidR="00824191" w:rsidRPr="00307F0C" w:rsidRDefault="00FC29E3">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(MW  </w:t>
            </w:r>
            <w:r w:rsidRPr="00307F0C">
              <w:rPr>
                <w:rFonts w:ascii="Arial" w:eastAsia="Times New Roman" w:hAnsi="Arial" w:cs="Arial"/>
                <w:b/>
                <w:bCs/>
                <w:color w:val="FFFFFF"/>
                <w:sz w:val="18"/>
                <w:szCs w:val="18"/>
              </w:rPr>
              <w:t>1</w:t>
            </w:r>
            <w:r>
              <w:rPr>
                <w:rFonts w:ascii="Arial" w:eastAsia="Times New Roman" w:hAnsi="Arial" w:cs="Arial"/>
                <w:b/>
                <w:bCs/>
                <w:color w:val="FFFFFF"/>
                <w:sz w:val="18"/>
                <w:szCs w:val="18"/>
              </w:rPr>
              <w:t>1 AM</w:t>
            </w:r>
            <w:r w:rsidR="004D5FAB" w:rsidRPr="004D5FAB">
              <w:rPr>
                <w:rFonts w:ascii="Arial" w:eastAsia="Times New Roman" w:hAnsi="Arial" w:cs="Arial"/>
                <w:b/>
                <w:bCs/>
                <w:color w:val="FFFFFF"/>
                <w:sz w:val="18"/>
                <w:szCs w:val="18"/>
              </w:rPr>
              <w:t>–</w:t>
            </w:r>
            <w:r w:rsidR="00824191" w:rsidRPr="00307F0C">
              <w:rPr>
                <w:rFonts w:ascii="Arial" w:eastAsia="Times New Roman" w:hAnsi="Arial" w:cs="Arial"/>
                <w:b/>
                <w:bCs/>
                <w:color w:val="FFFFFF"/>
                <w:sz w:val="18"/>
                <w:szCs w:val="18"/>
              </w:rPr>
              <w:t>6 PM)</w:t>
            </w:r>
          </w:p>
        </w:tc>
        <w:tc>
          <w:tcPr>
            <w:tcW w:w="1096" w:type="dxa"/>
            <w:tcBorders>
              <w:top w:val="nil"/>
              <w:left w:val="nil"/>
              <w:bottom w:val="single" w:sz="4" w:space="0" w:color="auto"/>
              <w:right w:val="single" w:sz="4" w:space="0" w:color="FFFFFF"/>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t>
            </w:r>
          </w:p>
        </w:tc>
        <w:tc>
          <w:tcPr>
            <w:tcW w:w="1120" w:type="dxa"/>
            <w:tcBorders>
              <w:top w:val="nil"/>
              <w:left w:val="nil"/>
              <w:bottom w:val="single" w:sz="4" w:space="0" w:color="auto"/>
              <w:right w:val="single" w:sz="4" w:space="0" w:color="auto"/>
            </w:tcBorders>
            <w:shd w:val="clear" w:color="000000" w:fill="0070CD"/>
            <w:vAlign w:val="center"/>
            <w:hideMark/>
          </w:tcPr>
          <w:p w:rsidR="00824191" w:rsidRPr="00307F0C" w:rsidRDefault="00824191"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(°F)</w:t>
            </w:r>
          </w:p>
        </w:tc>
      </w:tr>
      <w:tr w:rsidR="00824191" w:rsidRPr="008C1A79" w:rsidTr="00FC29E3">
        <w:trPr>
          <w:trHeight w:val="255"/>
          <w:jc w:val="center"/>
        </w:trPr>
        <w:tc>
          <w:tcPr>
            <w:tcW w:w="11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SDG&amp;E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1-in-10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8,914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511.8</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502.8</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9.0</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8,050</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462.2</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452.9</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9.2</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7,704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442.3</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432.4</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10.0</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8,577</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492.4</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481.4</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11.1</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1-in-2</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8,914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481.3</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472.9</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8.4</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8,050</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434.7</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426.0</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8.7</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7,704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416.0</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406.6</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9.4</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8,577</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463.1</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452.7</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10.4</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824191" w:rsidRPr="008C1A79" w:rsidTr="00FC29E3">
        <w:trPr>
          <w:trHeight w:val="255"/>
          <w:jc w:val="center"/>
        </w:trPr>
        <w:tc>
          <w:tcPr>
            <w:tcW w:w="11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1-in-10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8,914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498.0</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489.3</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8.7</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8,050</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449.8</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440.8</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9.0</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7,704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430.4</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420.7</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9.7</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8,577</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479.2</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468.4</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10.8</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824191" w:rsidRPr="00307F0C" w:rsidRDefault="00824191"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1-in-2</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8,914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493.6</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485.0</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8.6</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8,050</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445.8</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436.9</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8.9</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7,704</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426.6</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417.0</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9.6</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824191" w:rsidRPr="008C1A79" w:rsidTr="00FC29E3">
        <w:trPr>
          <w:trHeight w:val="255"/>
          <w:jc w:val="center"/>
        </w:trPr>
        <w:tc>
          <w:tcPr>
            <w:tcW w:w="1120"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824191" w:rsidRPr="00307F0C" w:rsidRDefault="00824191" w:rsidP="00042853">
            <w:pPr>
              <w:spacing w:after="0" w:line="240" w:lineRule="auto"/>
              <w:rPr>
                <w:rFonts w:ascii="Arial" w:eastAsia="Times New Roman" w:hAnsi="Arial" w:cs="Arial"/>
                <w:color w:val="000000"/>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8,577</w:t>
            </w:r>
          </w:p>
        </w:tc>
        <w:tc>
          <w:tcPr>
            <w:tcW w:w="187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475.0</w:t>
            </w:r>
          </w:p>
        </w:tc>
        <w:tc>
          <w:tcPr>
            <w:tcW w:w="1829"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464.3</w:t>
            </w:r>
          </w:p>
        </w:tc>
        <w:tc>
          <w:tcPr>
            <w:tcW w:w="1498"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10.7</w:t>
            </w:r>
          </w:p>
        </w:tc>
        <w:tc>
          <w:tcPr>
            <w:tcW w:w="1096"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120" w:type="dxa"/>
            <w:tcBorders>
              <w:top w:val="nil"/>
              <w:left w:val="nil"/>
              <w:bottom w:val="single" w:sz="4" w:space="0" w:color="auto"/>
              <w:right w:val="single" w:sz="4" w:space="0" w:color="auto"/>
            </w:tcBorders>
            <w:shd w:val="clear" w:color="auto" w:fill="auto"/>
            <w:noWrap/>
            <w:vAlign w:val="center"/>
            <w:hideMark/>
          </w:tcPr>
          <w:p w:rsidR="00824191" w:rsidRPr="00307F0C" w:rsidRDefault="00824191" w:rsidP="00307F0C">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bl>
    <w:p w:rsidR="009A283D" w:rsidRPr="00A9040A" w:rsidRDefault="009A283D" w:rsidP="009A283D">
      <w:pPr>
        <w:pStyle w:val="BodyParagraph"/>
        <w:sectPr w:rsidR="009A283D" w:rsidRPr="00A9040A" w:rsidSect="006D677D">
          <w:pgSz w:w="12240" w:h="15840"/>
          <w:pgMar w:top="1440" w:right="1440" w:bottom="1440" w:left="1440" w:header="720" w:footer="720" w:gutter="0"/>
          <w:cols w:space="720"/>
          <w:docGrid w:linePitch="360"/>
        </w:sectPr>
      </w:pPr>
    </w:p>
    <w:p w:rsidR="006A7080" w:rsidRDefault="006A7080" w:rsidP="006A7080">
      <w:pPr>
        <w:pStyle w:val="Heading1"/>
        <w:ind w:left="432" w:hanging="432"/>
      </w:pPr>
      <w:bookmarkStart w:id="272" w:name="_Toc415494816"/>
      <w:r w:rsidRPr="00626371">
        <w:lastRenderedPageBreak/>
        <w:t>Recommendations</w:t>
      </w:r>
      <w:bookmarkEnd w:id="179"/>
      <w:bookmarkEnd w:id="180"/>
      <w:bookmarkEnd w:id="272"/>
    </w:p>
    <w:p w:rsidR="006A7080" w:rsidRPr="00E94106" w:rsidRDefault="006A7080" w:rsidP="006A7080">
      <w:pPr>
        <w:pStyle w:val="BodyParagraph"/>
      </w:pPr>
      <w:r>
        <w:t xml:space="preserve">The empirical data from PG&amp;E, SCE and SDG&amp;E’s default </w:t>
      </w:r>
      <w:r w:rsidR="002A383D">
        <w:t>CPP</w:t>
      </w:r>
      <w:r>
        <w:t xml:space="preserve"> programs has produced many practical insights about load impacts from large customer participants on default dynamic pricing rates</w:t>
      </w:r>
      <w:proofErr w:type="gramStart"/>
      <w:r>
        <w:t xml:space="preserve">.  </w:t>
      </w:r>
      <w:proofErr w:type="gramEnd"/>
      <w:r>
        <w:t xml:space="preserve">However, there remains limited </w:t>
      </w:r>
      <w:r w:rsidRPr="005D51D2">
        <w:t xml:space="preserve">empirical data concerning how </w:t>
      </w:r>
      <w:r w:rsidR="002A383D">
        <w:t>SMB</w:t>
      </w:r>
      <w:r w:rsidRPr="005D51D2">
        <w:t xml:space="preserve"> customers respond to default CPP rates</w:t>
      </w:r>
      <w:proofErr w:type="gramStart"/>
      <w:r w:rsidR="00E94106">
        <w:t xml:space="preserve">.  </w:t>
      </w:r>
      <w:proofErr w:type="gramEnd"/>
      <w:r>
        <w:t>A</w:t>
      </w:r>
      <w:r w:rsidRPr="00E43EA4">
        <w:t xml:space="preserve">lthough </w:t>
      </w:r>
      <w:r>
        <w:rPr>
          <w:rStyle w:val="BodyParagraphChar"/>
        </w:rPr>
        <w:t>Nexant</w:t>
      </w:r>
      <w:r w:rsidRPr="00DE245E">
        <w:rPr>
          <w:rStyle w:val="BodyParagraphChar"/>
        </w:rPr>
        <w:t xml:space="preserve"> recommend</w:t>
      </w:r>
      <w:r>
        <w:rPr>
          <w:rStyle w:val="BodyParagraphChar"/>
        </w:rPr>
        <w:t xml:space="preserve">s specific research steps, </w:t>
      </w:r>
      <w:r w:rsidRPr="00DE245E">
        <w:rPr>
          <w:rStyle w:val="BodyParagraphChar"/>
        </w:rPr>
        <w:t>additional research can impose additional costs that may not be currently funded</w:t>
      </w:r>
      <w:proofErr w:type="gramStart"/>
      <w:r w:rsidRPr="00DE245E">
        <w:rPr>
          <w:rStyle w:val="BodyParagraphChar"/>
        </w:rPr>
        <w:t xml:space="preserve">.  </w:t>
      </w:r>
      <w:proofErr w:type="gramEnd"/>
      <w:r w:rsidRPr="00DE245E">
        <w:rPr>
          <w:rStyle w:val="BodyParagraphChar"/>
        </w:rPr>
        <w:t>The</w:t>
      </w:r>
      <w:r>
        <w:rPr>
          <w:rStyle w:val="BodyParagraphChar"/>
        </w:rPr>
        <w:t> </w:t>
      </w:r>
      <w:r w:rsidRPr="00DE245E">
        <w:rPr>
          <w:rStyle w:val="BodyParagraphChar"/>
        </w:rPr>
        <w:t>recommendations presented in this section also may not be feasible at each utility due to the pre</w:t>
      </w:r>
      <w:r>
        <w:rPr>
          <w:rStyle w:val="BodyParagraphChar"/>
        </w:rPr>
        <w:noBreakHyphen/>
      </w:r>
      <w:r w:rsidRPr="00DE245E">
        <w:rPr>
          <w:rStyle w:val="BodyParagraphChar"/>
        </w:rPr>
        <w:t>established</w:t>
      </w:r>
      <w:r>
        <w:t xml:space="preserve"> schedules for implementing default CPP and resource constraints. </w:t>
      </w:r>
    </w:p>
    <w:p w:rsidR="006A7080" w:rsidRDefault="006A7080" w:rsidP="006A7080">
      <w:pPr>
        <w:pStyle w:val="BodyBeforeBullet"/>
      </w:pPr>
      <w:r>
        <w:t xml:space="preserve">Our testing and evaluation recommendations are: </w:t>
      </w:r>
    </w:p>
    <w:p w:rsidR="006A7080" w:rsidRDefault="006A7080" w:rsidP="006A7080">
      <w:pPr>
        <w:pStyle w:val="Bullets"/>
        <w:tabs>
          <w:tab w:val="num" w:pos="720"/>
        </w:tabs>
        <w:ind w:left="720"/>
      </w:pPr>
      <w:r w:rsidRPr="00E14841">
        <w:rPr>
          <w:i/>
        </w:rPr>
        <w:t>Conduct an early test of default CPP for medium customers</w:t>
      </w:r>
      <w:proofErr w:type="gramStart"/>
      <w:r w:rsidRPr="00E14841">
        <w:rPr>
          <w:i/>
        </w:rPr>
        <w:t xml:space="preserve">. </w:t>
      </w:r>
      <w:r w:rsidR="004F060C">
        <w:rPr>
          <w:i/>
        </w:rPr>
        <w:t xml:space="preserve"> </w:t>
      </w:r>
      <w:proofErr w:type="gramEnd"/>
      <w:r>
        <w:t>Experimentation and test-and-learn strategies are at the very core of successful innovation</w:t>
      </w:r>
      <w:proofErr w:type="gramStart"/>
      <w:r>
        <w:t xml:space="preserve">.  </w:t>
      </w:r>
      <w:proofErr w:type="gramEnd"/>
      <w:r>
        <w:t>It is a way to learn what works and, more importantly, learn what doesn’t</w:t>
      </w:r>
      <w:r w:rsidR="002A383D">
        <w:t xml:space="preserve"> work</w:t>
      </w:r>
      <w:proofErr w:type="gramStart"/>
      <w:r>
        <w:t xml:space="preserve">.  </w:t>
      </w:r>
      <w:proofErr w:type="gramEnd"/>
      <w:r w:rsidRPr="00535AA9">
        <w:t xml:space="preserve">The basic idea is </w:t>
      </w:r>
      <w:r>
        <w:t xml:space="preserve">to conduct small scale tests </w:t>
      </w:r>
      <w:r w:rsidRPr="00535AA9">
        <w:t xml:space="preserve">as early as possible to avoid making </w:t>
      </w:r>
      <w:r>
        <w:t xml:space="preserve">more costly </w:t>
      </w:r>
      <w:r w:rsidRPr="00535AA9">
        <w:t>mistakes later in</w:t>
      </w:r>
      <w:r>
        <w:t xml:space="preserve"> </w:t>
      </w:r>
      <w:r w:rsidRPr="00535AA9">
        <w:t>the process</w:t>
      </w:r>
      <w:proofErr w:type="gramStart"/>
      <w:r>
        <w:t xml:space="preserve">.  </w:t>
      </w:r>
      <w:proofErr w:type="gramEnd"/>
      <w:r>
        <w:t>Nexant recommends that</w:t>
      </w:r>
      <w:r w:rsidRPr="00B10BD1">
        <w:t xml:space="preserve"> utilities test def</w:t>
      </w:r>
      <w:r>
        <w:t xml:space="preserve">ault CPP with a smaller, random </w:t>
      </w:r>
      <w:r w:rsidRPr="00B10BD1">
        <w:t xml:space="preserve">subset of </w:t>
      </w:r>
      <w:r w:rsidR="002A383D">
        <w:t>SMB</w:t>
      </w:r>
      <w:r>
        <w:t xml:space="preserve"> </w:t>
      </w:r>
      <w:r w:rsidRPr="00B10BD1">
        <w:t>customers prior to full implementation</w:t>
      </w:r>
      <w:proofErr w:type="gramStart"/>
      <w:r w:rsidRPr="00B10BD1">
        <w:t xml:space="preserve">. </w:t>
      </w:r>
      <w:r w:rsidR="004F060C">
        <w:t xml:space="preserve"> </w:t>
      </w:r>
      <w:proofErr w:type="gramEnd"/>
      <w:r w:rsidRPr="00B10BD1">
        <w:t xml:space="preserve">This would allow utilities the opportunity to test </w:t>
      </w:r>
      <w:r>
        <w:t xml:space="preserve">and evaluate the effectiveness of </w:t>
      </w:r>
      <w:r w:rsidRPr="00B10BD1">
        <w:t>the default process,</w:t>
      </w:r>
      <w:r>
        <w:t xml:space="preserve"> reduce uncertainty about enrollments and demand reductions</w:t>
      </w:r>
      <w:r w:rsidRPr="00B10BD1">
        <w:t xml:space="preserve"> and make appropriate adjustments prior to full implementation</w:t>
      </w:r>
      <w:proofErr w:type="gramStart"/>
      <w:r w:rsidRPr="00B10BD1">
        <w:t xml:space="preserve">. </w:t>
      </w:r>
      <w:r>
        <w:t xml:space="preserve"> </w:t>
      </w:r>
      <w:proofErr w:type="gramEnd"/>
      <w:r>
        <w:t>Currently, there is very little precedent for a shift to default dynamic rates among these</w:t>
      </w:r>
      <w:r w:rsidR="002A383D">
        <w:t xml:space="preserve"> types of</w:t>
      </w:r>
      <w:r>
        <w:t xml:space="preserve"> customers</w:t>
      </w:r>
      <w:proofErr w:type="gramStart"/>
      <w:r>
        <w:t xml:space="preserve">.  </w:t>
      </w:r>
      <w:proofErr w:type="gramEnd"/>
      <w:r>
        <w:t xml:space="preserve">Most assumptions about how </w:t>
      </w:r>
      <w:r w:rsidR="002A383D">
        <w:t>SMB</w:t>
      </w:r>
      <w:r>
        <w:t xml:space="preserve"> customers will engage and respond are uncertain because they are </w:t>
      </w:r>
      <w:r w:rsidR="002A383D">
        <w:t xml:space="preserve">mostly </w:t>
      </w:r>
      <w:r>
        <w:t>based on the implementation of default CPP for large customers.</w:t>
      </w:r>
    </w:p>
    <w:p w:rsidR="006A7080" w:rsidRDefault="006A7080" w:rsidP="006A7080">
      <w:pPr>
        <w:pStyle w:val="BulletLast"/>
        <w:tabs>
          <w:tab w:val="num" w:pos="720"/>
        </w:tabs>
        <w:ind w:left="720"/>
      </w:pPr>
      <w:r w:rsidRPr="000A759F">
        <w:rPr>
          <w:i/>
        </w:rPr>
        <w:t>Estimate the effect of program changes through research design rather than after-the-fact analysis</w:t>
      </w:r>
      <w:proofErr w:type="gramStart"/>
      <w:r w:rsidRPr="000A759F">
        <w:rPr>
          <w:i/>
        </w:rPr>
        <w:t xml:space="preserve">. </w:t>
      </w:r>
      <w:r w:rsidR="004F060C">
        <w:rPr>
          <w:i/>
        </w:rPr>
        <w:t xml:space="preserve"> </w:t>
      </w:r>
      <w:proofErr w:type="gramEnd"/>
      <w:r w:rsidR="00E94106">
        <w:t>Any upcoming program changes</w:t>
      </w:r>
      <w:r w:rsidRPr="00276070">
        <w:t xml:space="preserve"> provide a unique opportunity to assess the effect, if any, of program changes</w:t>
      </w:r>
      <w:r>
        <w:t xml:space="preserve"> on load impacts</w:t>
      </w:r>
      <w:proofErr w:type="gramStart"/>
      <w:r w:rsidRPr="00276070">
        <w:t>.</w:t>
      </w:r>
      <w:r>
        <w:t xml:space="preserve"> </w:t>
      </w:r>
      <w:r w:rsidRPr="00276070">
        <w:t xml:space="preserve"> </w:t>
      </w:r>
      <w:proofErr w:type="gramEnd"/>
      <w:r>
        <w:t>S</w:t>
      </w:r>
      <w:r w:rsidRPr="00276070">
        <w:t>pecific</w:t>
      </w:r>
      <w:r>
        <w:t xml:space="preserve">ally, it can help answer two key research questions: Does providing customers the </w:t>
      </w:r>
      <w:r w:rsidRPr="00884AB9">
        <w:t>ability to partially or fully insure their load against high CPP prices</w:t>
      </w:r>
      <w:r>
        <w:t xml:space="preserve"> dampen participant demand reductions</w:t>
      </w:r>
      <w:proofErr w:type="gramStart"/>
      <w:r>
        <w:t xml:space="preserve">?  </w:t>
      </w:r>
      <w:proofErr w:type="gramEnd"/>
      <w:r>
        <w:t xml:space="preserve">Does </w:t>
      </w:r>
      <w:r w:rsidR="00E94106">
        <w:t>changing</w:t>
      </w:r>
      <w:r>
        <w:t xml:space="preserve"> the event window lead to lower demand reductions</w:t>
      </w:r>
      <w:proofErr w:type="gramStart"/>
      <w:r>
        <w:t xml:space="preserve">?  </w:t>
      </w:r>
      <w:proofErr w:type="gramEnd"/>
      <w:r>
        <w:t xml:space="preserve">The ideal approach to answering </w:t>
      </w:r>
      <w:r w:rsidR="00E94106">
        <w:t xml:space="preserve">any upcoming key questions like </w:t>
      </w:r>
      <w:r>
        <w:t>these is a phased rollout of program changes in combination with random assignment</w:t>
      </w:r>
      <w:proofErr w:type="gramStart"/>
      <w:r>
        <w:t xml:space="preserve">.  </w:t>
      </w:r>
      <w:proofErr w:type="gramEnd"/>
      <w:r>
        <w:t>Under this scenario, customers are randomly assigned to one of two groups</w:t>
      </w:r>
      <w:proofErr w:type="gramStart"/>
      <w:r>
        <w:t xml:space="preserve">.  </w:t>
      </w:r>
      <w:proofErr w:type="gramEnd"/>
      <w:r>
        <w:t>In the first year, the program change is implemented for one group, allowing a</w:t>
      </w:r>
      <w:r w:rsidR="004F060C">
        <w:t> </w:t>
      </w:r>
      <w:r>
        <w:t>side-by-side comparison of impacts with and without the program change</w:t>
      </w:r>
      <w:proofErr w:type="gramStart"/>
      <w:r>
        <w:t xml:space="preserve">.  </w:t>
      </w:r>
      <w:proofErr w:type="gramEnd"/>
      <w:r>
        <w:t>By the second year, the program change is implemented across the full population</w:t>
      </w:r>
      <w:r w:rsidRPr="00752687">
        <w:t>.</w:t>
      </w:r>
    </w:p>
    <w:p w:rsidR="00150CBF" w:rsidRDefault="00150CBF">
      <w:pPr>
        <w:rPr>
          <w:rFonts w:ascii="Arial" w:hAnsi="Arial"/>
          <w:color w:val="1C1C1C"/>
        </w:rPr>
      </w:pPr>
      <w:r>
        <w:br w:type="page"/>
      </w:r>
    </w:p>
    <w:p w:rsidR="00150CBF" w:rsidRDefault="00150CBF" w:rsidP="006A7080">
      <w:pPr>
        <w:pStyle w:val="BodyParagraph"/>
        <w:sectPr w:rsidR="00150CBF" w:rsidSect="003B398F">
          <w:headerReference w:type="default" r:id="rId99"/>
          <w:footerReference w:type="default" r:id="rId100"/>
          <w:pgSz w:w="12240" w:h="15840"/>
          <w:pgMar w:top="1440" w:right="1440" w:bottom="1440" w:left="1440" w:header="720" w:footer="720" w:gutter="0"/>
          <w:cols w:space="720"/>
          <w:docGrid w:linePitch="360"/>
        </w:sectPr>
      </w:pPr>
    </w:p>
    <w:p w:rsidR="006A7080" w:rsidRDefault="006A7080" w:rsidP="004F2A1D">
      <w:pPr>
        <w:pStyle w:val="AppendixHeading"/>
        <w:numPr>
          <w:ilvl w:val="0"/>
          <w:numId w:val="9"/>
        </w:numPr>
      </w:pPr>
      <w:bookmarkStart w:id="273" w:name="_Toc415494817"/>
      <w:bookmarkStart w:id="274" w:name="_GoBack"/>
      <w:bookmarkEnd w:id="274"/>
      <w:r>
        <w:lastRenderedPageBreak/>
        <w:t xml:space="preserve">Candidate </w:t>
      </w:r>
      <w:proofErr w:type="spellStart"/>
      <w:r>
        <w:t>Probit</w:t>
      </w:r>
      <w:proofErr w:type="spellEnd"/>
      <w:r>
        <w:t xml:space="preserve"> Models</w:t>
      </w:r>
      <w:bookmarkEnd w:id="273"/>
    </w:p>
    <w:p w:rsidR="006A7080" w:rsidRDefault="00A86839" w:rsidP="006A7080">
      <w:pPr>
        <w:pStyle w:val="BodyParagraph"/>
      </w:pPr>
      <w:r>
        <w:t xml:space="preserve">Twelve </w:t>
      </w:r>
      <w:r w:rsidR="006A7080">
        <w:t xml:space="preserve">separate </w:t>
      </w:r>
      <w:proofErr w:type="spellStart"/>
      <w:r w:rsidR="006A7080">
        <w:t>probit</w:t>
      </w:r>
      <w:proofErr w:type="spellEnd"/>
      <w:r w:rsidR="006A7080">
        <w:t xml:space="preserve"> model specifications were tested</w:t>
      </w:r>
      <w:r w:rsidR="005D7B41">
        <w:t xml:space="preserve"> in the propensity score matching,</w:t>
      </w:r>
      <w:r w:rsidR="006A7080">
        <w:t xml:space="preserve"> in</w:t>
      </w:r>
      <w:r w:rsidR="004F060C">
        <w:t> </w:t>
      </w:r>
      <w:r w:rsidR="006A7080">
        <w:t>addition to 13 different hard match criteria and six caliper values</w:t>
      </w:r>
      <w:proofErr w:type="gramStart"/>
      <w:r w:rsidR="006A7080">
        <w:t xml:space="preserve">.  </w:t>
      </w:r>
      <w:proofErr w:type="gramEnd"/>
      <w:r w:rsidR="006A7080">
        <w:t>The matching analysis dataset consisted of CPP customers and a pool of potential control group customers</w:t>
      </w:r>
      <w:proofErr w:type="gramStart"/>
      <w:r w:rsidR="006A7080">
        <w:t xml:space="preserve">.  </w:t>
      </w:r>
      <w:proofErr w:type="gramEnd"/>
      <w:r w:rsidR="006A7080">
        <w:t xml:space="preserve">Tables A-1 and A-2 show the </w:t>
      </w:r>
      <w:proofErr w:type="spellStart"/>
      <w:r w:rsidR="006A7080">
        <w:t>probit</w:t>
      </w:r>
      <w:proofErr w:type="spellEnd"/>
      <w:r w:rsidR="006A7080">
        <w:t xml:space="preserve"> model specifications and variable definitions</w:t>
      </w:r>
      <w:proofErr w:type="gramStart"/>
      <w:r w:rsidR="006A7080">
        <w:t xml:space="preserve">.  </w:t>
      </w:r>
      <w:proofErr w:type="gramEnd"/>
      <w:r w:rsidR="006A7080">
        <w:t>Models were selected to describe load on proxy event days and non-event summer days</w:t>
      </w:r>
      <w:proofErr w:type="gramStart"/>
      <w:r w:rsidR="006A7080">
        <w:t xml:space="preserve">.  </w:t>
      </w:r>
      <w:proofErr w:type="gramEnd"/>
      <w:r w:rsidR="006A7080">
        <w:t>Table A-3 lists variables used as hard match criteria, and the follo</w:t>
      </w:r>
      <w:r w:rsidR="005D7B41">
        <w:t xml:space="preserve">wing caliper values were used: </w:t>
      </w:r>
      <w:r w:rsidR="006A7080">
        <w:t xml:space="preserve">0.0005, 0.001, 0.005, 0.01, </w:t>
      </w:r>
      <w:proofErr w:type="gramStart"/>
      <w:r w:rsidR="006A7080">
        <w:t>0.05</w:t>
      </w:r>
      <w:proofErr w:type="gramEnd"/>
      <w:r w:rsidR="005D7B41">
        <w:t xml:space="preserve"> and</w:t>
      </w:r>
      <w:r w:rsidR="006A7080">
        <w:t xml:space="preserve"> 0.1.</w:t>
      </w:r>
    </w:p>
    <w:p w:rsidR="006A7080" w:rsidRPr="007E247D" w:rsidRDefault="006A7080" w:rsidP="006A7080">
      <w:pPr>
        <w:pStyle w:val="TableFigureCaption"/>
      </w:pPr>
      <w:r>
        <w:t>Table A</w:t>
      </w:r>
      <w:r w:rsidRPr="007E247D">
        <w:t xml:space="preserve">-1: </w:t>
      </w:r>
      <w:r w:rsidR="005D7B41">
        <w:t xml:space="preserve">Candidate </w:t>
      </w:r>
      <w:proofErr w:type="spellStart"/>
      <w:r>
        <w:t>Probit</w:t>
      </w:r>
      <w:proofErr w:type="spellEnd"/>
      <w:r>
        <w:t xml:space="preserve"> Models</w:t>
      </w:r>
    </w:p>
    <w:tbl>
      <w:tblPr>
        <w:tblW w:w="9194" w:type="dxa"/>
        <w:tblInd w:w="94" w:type="dxa"/>
        <w:tblLook w:val="04A0" w:firstRow="1" w:lastRow="0" w:firstColumn="1" w:lastColumn="0" w:noHBand="0" w:noVBand="1"/>
      </w:tblPr>
      <w:tblGrid>
        <w:gridCol w:w="960"/>
        <w:gridCol w:w="8234"/>
      </w:tblGrid>
      <w:tr w:rsidR="006A7080" w:rsidRPr="00EB078C" w:rsidTr="00022617">
        <w:trPr>
          <w:trHeight w:val="300"/>
          <w:tblHeader/>
        </w:trPr>
        <w:tc>
          <w:tcPr>
            <w:tcW w:w="960"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Pr="007E247D" w:rsidRDefault="006A7080" w:rsidP="005D7B41">
            <w:pPr>
              <w:pStyle w:val="TableHeader"/>
              <w:spacing w:before="60" w:after="60"/>
            </w:pPr>
            <w:r w:rsidRPr="007E247D">
              <w:t>Model #</w:t>
            </w:r>
          </w:p>
        </w:tc>
        <w:tc>
          <w:tcPr>
            <w:tcW w:w="8234" w:type="dxa"/>
            <w:tcBorders>
              <w:top w:val="single" w:sz="4" w:space="0" w:color="auto"/>
              <w:left w:val="nil"/>
              <w:bottom w:val="single" w:sz="4" w:space="0" w:color="auto"/>
              <w:right w:val="single" w:sz="4" w:space="0" w:color="auto"/>
            </w:tcBorders>
            <w:shd w:val="clear" w:color="auto" w:fill="0070CD"/>
            <w:noWrap/>
            <w:vAlign w:val="center"/>
            <w:hideMark/>
          </w:tcPr>
          <w:p w:rsidR="006A7080" w:rsidRPr="007E247D" w:rsidRDefault="006A7080" w:rsidP="005D7B41">
            <w:pPr>
              <w:pStyle w:val="TableHeader"/>
              <w:spacing w:before="60" w:after="60"/>
            </w:pPr>
            <w:r w:rsidRPr="007E247D">
              <w:t>Specification</w:t>
            </w:r>
          </w:p>
        </w:tc>
      </w:tr>
      <w:tr w:rsidR="006A7080" w:rsidRPr="00EB078C" w:rsidTr="003B398F">
        <w:trPr>
          <w:trHeight w:val="1034"/>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rsidRPr="00EB078C">
              <w:t>1</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h=12</m:t>
                        </m:r>
                      </m:sub>
                      <m:sup>
                        <m:r>
                          <w:rPr>
                            <w:rFonts w:ascii="Cambria Math" w:hAnsi="Cambria Math"/>
                            <w:szCs w:val="18"/>
                          </w:rPr>
                          <m:t>21</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EB078C"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rsidRPr="00EB078C">
              <w:t>2</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h=12</m:t>
                        </m:r>
                      </m:sub>
                      <m:sup>
                        <m:r>
                          <w:rPr>
                            <w:rFonts w:ascii="Cambria Math" w:hAnsi="Cambria Math"/>
                            <w:szCs w:val="18"/>
                          </w:rPr>
                          <m:t>21</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3</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h=12</m:t>
                        </m:r>
                      </m:sub>
                      <m:sup>
                        <m:r>
                          <w:rPr>
                            <w:rFonts w:ascii="Cambria Math" w:hAnsi="Cambria Math"/>
                            <w:szCs w:val="18"/>
                          </w:rPr>
                          <m:t>21</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Proxy Day kWh</m:t>
                            </m:r>
                          </m:e>
                          <m:sub>
                            <m:r>
                              <w:rPr>
                                <w:rFonts w:ascii="Cambria Math" w:hAnsi="Cambria Math"/>
                                <w:szCs w:val="18"/>
                              </w:rPr>
                              <m:t>i</m:t>
                            </m:r>
                          </m:sub>
                        </m:sSub>
                      </m:e>
                    </m:nary>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4</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h=12</m:t>
                        </m:r>
                      </m:sub>
                      <m:sup>
                        <m:r>
                          <w:rPr>
                            <w:rFonts w:ascii="Cambria Math" w:hAnsi="Cambria Math"/>
                            <w:szCs w:val="18"/>
                          </w:rPr>
                          <m:t>21</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 xml:space="preserve">+d* </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e>
                    </m:nary>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5</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h=12</m:t>
                        </m:r>
                      </m:sub>
                      <m:sup>
                        <m:r>
                          <w:rPr>
                            <w:rFonts w:ascii="Cambria Math" w:hAnsi="Cambria Math"/>
                            <w:szCs w:val="18"/>
                          </w:rPr>
                          <m:t>21</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Proxy Day kWh</m:t>
                            </m:r>
                          </m:e>
                          <m:sub>
                            <m:r>
                              <w:rPr>
                                <w:rFonts w:ascii="Cambria Math" w:hAnsi="Cambria Math"/>
                                <w:szCs w:val="18"/>
                              </w:rPr>
                              <m:t>i</m:t>
                            </m:r>
                          </m:sub>
                        </m:sSub>
                        <m:r>
                          <w:rPr>
                            <w:rFonts w:ascii="Cambria Math" w:hAnsi="Cambria Math"/>
                            <w:szCs w:val="18"/>
                          </w:rPr>
                          <m:t xml:space="preserve">+d* </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e>
                    </m:nary>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6</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h=15</m:t>
                        </m:r>
                      </m:sub>
                      <m:sup>
                        <m:r>
                          <w:rPr>
                            <w:rFonts w:ascii="Cambria Math" w:hAnsi="Cambria Math"/>
                            <w:szCs w:val="18"/>
                          </w:rPr>
                          <m:t>18</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7</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h=15</m:t>
                        </m:r>
                      </m:sub>
                      <m:sup>
                        <m:r>
                          <w:rPr>
                            <w:rFonts w:ascii="Cambria Math" w:hAnsi="Cambria Math"/>
                            <w:szCs w:val="18"/>
                          </w:rPr>
                          <m:t>18</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8</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h=15</m:t>
                        </m:r>
                      </m:sub>
                      <m:sup>
                        <m:r>
                          <w:rPr>
                            <w:rFonts w:ascii="Cambria Math" w:hAnsi="Cambria Math"/>
                            <w:szCs w:val="18"/>
                          </w:rPr>
                          <m:t>18</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Proxy Day kWh</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lastRenderedPageBreak/>
              <w:t>9</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h=15</m:t>
                        </m:r>
                      </m:sub>
                      <m:sup>
                        <m:r>
                          <w:rPr>
                            <w:rFonts w:ascii="Cambria Math" w:hAnsi="Cambria Math"/>
                            <w:szCs w:val="18"/>
                          </w:rPr>
                          <m:t>18</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 xml:space="preserve">+d* </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nary>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10</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 </m:t>
                    </m:r>
                    <m:nary>
                      <m:naryPr>
                        <m:chr m:val="∑"/>
                        <m:limLoc m:val="subSup"/>
                        <m:ctrlPr>
                          <w:rPr>
                            <w:rFonts w:ascii="Cambria Math" w:hAnsi="Cambria Math"/>
                            <w:i/>
                            <w:szCs w:val="18"/>
                          </w:rPr>
                        </m:ctrlPr>
                      </m:naryPr>
                      <m:sub>
                        <m:r>
                          <w:rPr>
                            <w:rFonts w:ascii="Cambria Math" w:hAnsi="Cambria Math"/>
                            <w:szCs w:val="18"/>
                          </w:rPr>
                          <m:t>h=15</m:t>
                        </m:r>
                      </m:sub>
                      <m:sup>
                        <m:r>
                          <w:rPr>
                            <w:rFonts w:ascii="Cambria Math" w:hAnsi="Cambria Math"/>
                            <w:szCs w:val="18"/>
                          </w:rPr>
                          <m:t>18</m:t>
                        </m:r>
                      </m:sup>
                      <m:e>
                        <m:sSub>
                          <m:sSubPr>
                            <m:ctrlPr>
                              <w:rPr>
                                <w:rFonts w:ascii="Cambria Math" w:hAnsi="Cambria Math"/>
                                <w:i/>
                                <w:szCs w:val="18"/>
                              </w:rPr>
                            </m:ctrlPr>
                          </m:sSubPr>
                          <m:e>
                            <m:sSub>
                              <m:sSubPr>
                                <m:ctrlPr>
                                  <w:rPr>
                                    <w:rFonts w:ascii="Cambria Math" w:hAnsi="Cambria Math"/>
                                    <w:i/>
                                    <w:szCs w:val="18"/>
                                  </w:rPr>
                                </m:ctrlPr>
                              </m:sSubPr>
                              <m:e>
                                <m:r>
                                  <w:rPr>
                                    <w:rFonts w:ascii="Cambria Math" w:hAnsi="Cambria Math"/>
                                    <w:szCs w:val="18"/>
                                  </w:rPr>
                                  <m:t>b</m:t>
                                </m:r>
                              </m:e>
                              <m:sub>
                                <m:r>
                                  <w:rPr>
                                    <w:rFonts w:ascii="Cambria Math" w:hAnsi="Cambria Math"/>
                                    <w:szCs w:val="18"/>
                                  </w:rPr>
                                  <m:t>h</m:t>
                                </m:r>
                              </m:sub>
                            </m:sSub>
                            <m:r>
                              <w:rPr>
                                <w:rFonts w:ascii="Cambria Math" w:hAnsi="Cambria Math"/>
                                <w:szCs w:val="18"/>
                              </w:rPr>
                              <m:t>*kW</m:t>
                            </m:r>
                          </m:e>
                          <m:sub>
                            <m:r>
                              <w:rPr>
                                <w:rFonts w:ascii="Cambria Math" w:hAnsi="Cambria Math"/>
                                <w:szCs w:val="18"/>
                              </w:rPr>
                              <m:t>hi</m:t>
                            </m:r>
                          </m:sub>
                        </m:sSub>
                        <m:r>
                          <w:rPr>
                            <w:rFonts w:ascii="Cambria Math" w:hAnsi="Cambria Math"/>
                            <w:szCs w:val="18"/>
                          </w:rPr>
                          <m:t>+ c*</m:t>
                        </m:r>
                        <m:sSub>
                          <m:sSubPr>
                            <m:ctrlPr>
                              <w:rPr>
                                <w:rFonts w:ascii="Cambria Math" w:hAnsi="Cambria Math"/>
                                <w:i/>
                                <w:szCs w:val="18"/>
                              </w:rPr>
                            </m:ctrlPr>
                          </m:sSubPr>
                          <m:e>
                            <m:r>
                              <w:rPr>
                                <w:rFonts w:ascii="Cambria Math" w:hAnsi="Cambria Math"/>
                                <w:szCs w:val="18"/>
                              </w:rPr>
                              <m:t>Avg Proxy Day kWh</m:t>
                            </m:r>
                          </m:e>
                          <m:sub>
                            <m:r>
                              <w:rPr>
                                <w:rFonts w:ascii="Cambria Math" w:hAnsi="Cambria Math"/>
                                <w:szCs w:val="18"/>
                              </w:rPr>
                              <m:t>i</m:t>
                            </m:r>
                          </m:sub>
                        </m:sSub>
                        <m:r>
                          <w:rPr>
                            <w:rFonts w:ascii="Cambria Math" w:hAnsi="Cambria Math"/>
                            <w:szCs w:val="18"/>
                          </w:rPr>
                          <m:t xml:space="preserve">+d* </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e>
                    </m:nary>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11</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a+b* </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+c*</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r w:rsidR="006A7080" w:rsidRPr="004B2E41" w:rsidTr="003B398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A7080" w:rsidRPr="00EB078C" w:rsidRDefault="006A7080" w:rsidP="005D7B41">
            <w:pPr>
              <w:pStyle w:val="TableText"/>
            </w:pPr>
            <w:r>
              <w:t>12</w:t>
            </w:r>
          </w:p>
        </w:tc>
        <w:tc>
          <w:tcPr>
            <w:tcW w:w="8234" w:type="dxa"/>
            <w:tcBorders>
              <w:top w:val="nil"/>
              <w:left w:val="nil"/>
              <w:bottom w:val="single" w:sz="4" w:space="0" w:color="auto"/>
              <w:right w:val="single" w:sz="4" w:space="0" w:color="auto"/>
            </w:tcBorders>
            <w:shd w:val="clear" w:color="auto" w:fill="auto"/>
            <w:noWrap/>
            <w:vAlign w:val="center"/>
            <w:hideMark/>
          </w:tcPr>
          <w:p w:rsidR="006A7080" w:rsidRPr="00834177" w:rsidRDefault="006A7080" w:rsidP="005D7B41">
            <w:pPr>
              <w:pStyle w:val="BodyParagraph"/>
              <w:spacing w:before="60" w:after="60"/>
              <w:jc w:val="center"/>
              <w:rPr>
                <w:rFonts w:ascii="Cambria Math" w:hAnsi="Cambria Math"/>
                <w:szCs w:val="18"/>
              </w:rPr>
            </w:pPr>
            <m:oMathPara>
              <m:oMath>
                <m:r>
                  <w:rPr>
                    <w:rFonts w:ascii="Cambria Math" w:hAnsi="Cambria Math"/>
                    <w:szCs w:val="18"/>
                  </w:rPr>
                  <m:t>P</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CPP</m:t>
                        </m:r>
                      </m:e>
                      <m:sub>
                        <m:r>
                          <w:rPr>
                            <w:rFonts w:ascii="Cambria Math" w:hAnsi="Cambria Math"/>
                            <w:szCs w:val="18"/>
                          </w:rPr>
                          <m:t>i</m:t>
                        </m:r>
                      </m:sub>
                    </m:sSub>
                    <m:ctrlPr>
                      <w:rPr>
                        <w:rFonts w:ascii="Cambria Math" w:hAnsi="Cambria Math"/>
                        <w:szCs w:val="18"/>
                      </w:rPr>
                    </m:ctrlPr>
                  </m:e>
                </m:d>
                <m:r>
                  <w:rPr>
                    <w:rFonts w:ascii="Cambria Math" w:hAnsi="Cambria Math"/>
                    <w:szCs w:val="18"/>
                  </w:rPr>
                  <m:t>=</m:t>
                </m:r>
                <m:r>
                  <m:rPr>
                    <m:sty m:val="p"/>
                  </m:rPr>
                  <w:rPr>
                    <w:rFonts w:ascii="Cambria Math" w:hAnsi="Cambria Math"/>
                    <w:szCs w:val="18"/>
                  </w:rPr>
                  <m:t>Φ</m:t>
                </m:r>
                <m:d>
                  <m:dPr>
                    <m:ctrlPr>
                      <w:rPr>
                        <w:rFonts w:ascii="Cambria Math" w:hAnsi="Cambria Math"/>
                        <w:szCs w:val="18"/>
                      </w:rPr>
                    </m:ctrlPr>
                  </m:dPr>
                  <m:e>
                    <m:r>
                      <w:rPr>
                        <w:rFonts w:ascii="Cambria Math" w:hAnsi="Cambria Math"/>
                        <w:szCs w:val="18"/>
                      </w:rPr>
                      <m:t xml:space="preserve">a+b* </m:t>
                    </m:r>
                    <m:sSub>
                      <m:sSubPr>
                        <m:ctrlPr>
                          <w:rPr>
                            <w:rFonts w:ascii="Cambria Math" w:hAnsi="Cambria Math"/>
                            <w:i/>
                            <w:szCs w:val="18"/>
                          </w:rPr>
                        </m:ctrlPr>
                      </m:sSubPr>
                      <m:e>
                        <m:r>
                          <w:rPr>
                            <w:rFonts w:ascii="Cambria Math" w:hAnsi="Cambria Math"/>
                            <w:szCs w:val="18"/>
                          </w:rPr>
                          <m:t>Avg Summer Day kWh</m:t>
                        </m:r>
                      </m:e>
                      <m:sub>
                        <m:r>
                          <w:rPr>
                            <w:rFonts w:ascii="Cambria Math" w:hAnsi="Cambria Math"/>
                            <w:szCs w:val="18"/>
                          </w:rPr>
                          <m:t>i</m:t>
                        </m:r>
                      </m:sub>
                    </m:sSub>
                    <m:r>
                      <w:rPr>
                        <w:rFonts w:ascii="Cambria Math" w:hAnsi="Cambria Math"/>
                        <w:szCs w:val="18"/>
                      </w:rPr>
                      <m:t>+c*</m:t>
                    </m:r>
                    <m:sSub>
                      <m:sSubPr>
                        <m:ctrlPr>
                          <w:rPr>
                            <w:rFonts w:ascii="Cambria Math" w:hAnsi="Cambria Math"/>
                            <w:i/>
                            <w:szCs w:val="18"/>
                          </w:rPr>
                        </m:ctrlPr>
                      </m:sSubPr>
                      <m:e>
                        <m:r>
                          <w:rPr>
                            <w:rFonts w:ascii="Cambria Math" w:hAnsi="Cambria Math"/>
                            <w:szCs w:val="18"/>
                          </w:rPr>
                          <m:t>Proxy Day Percent Peak Usage</m:t>
                        </m:r>
                      </m:e>
                      <m:sub>
                        <m:r>
                          <w:rPr>
                            <w:rFonts w:ascii="Cambria Math" w:hAnsi="Cambria Math"/>
                            <w:szCs w:val="18"/>
                          </w:rPr>
                          <m:t>i</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i</m:t>
                        </m:r>
                      </m:sub>
                    </m:sSub>
                  </m:e>
                </m:d>
              </m:oMath>
            </m:oMathPara>
          </w:p>
        </w:tc>
      </w:tr>
    </w:tbl>
    <w:p w:rsidR="006A7080" w:rsidRDefault="006A7080" w:rsidP="006A7080">
      <w:pPr>
        <w:pStyle w:val="BodyParagraph"/>
      </w:pPr>
    </w:p>
    <w:p w:rsidR="006A7080" w:rsidRDefault="006A7080" w:rsidP="006A7080">
      <w:pPr>
        <w:pStyle w:val="TableFigureCaption"/>
      </w:pPr>
      <w:r>
        <w:t xml:space="preserve">Table A-2: Description of </w:t>
      </w:r>
      <w:proofErr w:type="spellStart"/>
      <w:r>
        <w:t>Probit</w:t>
      </w:r>
      <w:proofErr w:type="spellEnd"/>
      <w:r>
        <w:t xml:space="preserve"> Model Variables</w:t>
      </w:r>
    </w:p>
    <w:tbl>
      <w:tblPr>
        <w:tblW w:w="9920" w:type="dxa"/>
        <w:jc w:val="center"/>
        <w:tblLook w:val="04A0" w:firstRow="1" w:lastRow="0" w:firstColumn="1" w:lastColumn="0" w:noHBand="0" w:noVBand="1"/>
      </w:tblPr>
      <w:tblGrid>
        <w:gridCol w:w="2586"/>
        <w:gridCol w:w="7334"/>
      </w:tblGrid>
      <w:tr w:rsidR="006A7080" w:rsidTr="008028DC">
        <w:trPr>
          <w:trHeight w:val="304"/>
          <w:tblHeader/>
          <w:jc w:val="center"/>
        </w:trPr>
        <w:tc>
          <w:tcPr>
            <w:tcW w:w="2586"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Default="006A7080" w:rsidP="003B398F">
            <w:pPr>
              <w:pStyle w:val="TableHeader"/>
              <w:spacing w:line="276" w:lineRule="auto"/>
            </w:pPr>
            <w:r>
              <w:t>Variable</w:t>
            </w:r>
          </w:p>
        </w:tc>
        <w:tc>
          <w:tcPr>
            <w:tcW w:w="7334" w:type="dxa"/>
            <w:tcBorders>
              <w:top w:val="single" w:sz="4" w:space="0" w:color="auto"/>
              <w:left w:val="nil"/>
              <w:bottom w:val="single" w:sz="4" w:space="0" w:color="auto"/>
              <w:right w:val="single" w:sz="4" w:space="0" w:color="auto"/>
            </w:tcBorders>
            <w:shd w:val="clear" w:color="auto" w:fill="0070CD"/>
            <w:noWrap/>
            <w:vAlign w:val="bottom"/>
            <w:hideMark/>
          </w:tcPr>
          <w:p w:rsidR="006A7080" w:rsidRDefault="006A7080" w:rsidP="003B398F">
            <w:pPr>
              <w:pStyle w:val="TableHeader"/>
              <w:spacing w:line="276" w:lineRule="auto"/>
            </w:pPr>
            <w:r>
              <w:t>Description</w:t>
            </w:r>
          </w:p>
        </w:tc>
      </w:tr>
      <w:tr w:rsidR="006A7080" w:rsidTr="008028DC">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3D32E4" w:rsidRDefault="006A7080" w:rsidP="003B398F">
            <w:pPr>
              <w:pStyle w:val="TableText"/>
              <w:rPr>
                <w:i/>
              </w:rPr>
            </w:pPr>
            <w:r w:rsidRPr="003D32E4">
              <w:rPr>
                <w:i/>
              </w:rPr>
              <w:t>kW</w:t>
            </w:r>
          </w:p>
        </w:tc>
        <w:tc>
          <w:tcPr>
            <w:tcW w:w="7334"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t>Energy usage in each hourly interval h averaged over proxy days</w:t>
            </w:r>
          </w:p>
        </w:tc>
      </w:tr>
      <w:tr w:rsidR="006A7080" w:rsidTr="008028DC">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3D32E4" w:rsidRDefault="006A7080" w:rsidP="003B398F">
            <w:pPr>
              <w:pStyle w:val="TableText"/>
              <w:rPr>
                <w:i/>
              </w:rPr>
            </w:pPr>
            <w:proofErr w:type="spellStart"/>
            <w:r w:rsidRPr="003D32E4">
              <w:rPr>
                <w:i/>
              </w:rPr>
              <w:t>Avg</w:t>
            </w:r>
            <w:proofErr w:type="spellEnd"/>
            <w:r w:rsidRPr="003D32E4">
              <w:rPr>
                <w:i/>
              </w:rPr>
              <w:t xml:space="preserve"> Summer Day kWh</w:t>
            </w:r>
          </w:p>
        </w:tc>
        <w:tc>
          <w:tcPr>
            <w:tcW w:w="7334"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t>Total energy usage for all hours in a day averaged over non-event summer days</w:t>
            </w:r>
          </w:p>
        </w:tc>
      </w:tr>
      <w:tr w:rsidR="006A7080" w:rsidTr="008028DC">
        <w:trPr>
          <w:trHeight w:val="218"/>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3D32E4" w:rsidRDefault="006A7080" w:rsidP="003B398F">
            <w:pPr>
              <w:pStyle w:val="TableText"/>
              <w:rPr>
                <w:i/>
              </w:rPr>
            </w:pPr>
            <w:proofErr w:type="spellStart"/>
            <w:r w:rsidRPr="003D32E4">
              <w:rPr>
                <w:i/>
              </w:rPr>
              <w:t>Avg</w:t>
            </w:r>
            <w:proofErr w:type="spellEnd"/>
            <w:r w:rsidRPr="003D32E4">
              <w:rPr>
                <w:i/>
              </w:rPr>
              <w:t xml:space="preserve"> Proxy Day kWh</w:t>
            </w:r>
          </w:p>
        </w:tc>
        <w:tc>
          <w:tcPr>
            <w:tcW w:w="7334" w:type="dxa"/>
            <w:tcBorders>
              <w:top w:val="nil"/>
              <w:left w:val="nil"/>
              <w:bottom w:val="single" w:sz="4" w:space="0" w:color="auto"/>
              <w:right w:val="single" w:sz="4" w:space="0" w:color="auto"/>
            </w:tcBorders>
            <w:vAlign w:val="center"/>
            <w:hideMark/>
          </w:tcPr>
          <w:p w:rsidR="006A7080" w:rsidRPr="00A61B6E" w:rsidRDefault="006A7080" w:rsidP="003B398F">
            <w:pPr>
              <w:pStyle w:val="TableText"/>
              <w:jc w:val="left"/>
              <w:rPr>
                <w:rFonts w:eastAsia="Calibri" w:cs="Times New Roman"/>
              </w:rPr>
            </w:pPr>
            <w:r>
              <w:t>Total energy usage for all hours in a day averaged over proxy days</w:t>
            </w:r>
          </w:p>
        </w:tc>
      </w:tr>
      <w:tr w:rsidR="006A7080" w:rsidTr="008028DC">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3D32E4" w:rsidRDefault="006A7080" w:rsidP="003B398F">
            <w:pPr>
              <w:pStyle w:val="TableText"/>
              <w:rPr>
                <w:i/>
              </w:rPr>
            </w:pPr>
            <w:r w:rsidRPr="003D32E4">
              <w:rPr>
                <w:i/>
              </w:rPr>
              <w:t>Proxy Day Percent Peak Usage</w:t>
            </w:r>
          </w:p>
        </w:tc>
        <w:tc>
          <w:tcPr>
            <w:tcW w:w="7334"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rPr>
                <w:rFonts w:eastAsia="Calibri" w:cs="Times New Roman"/>
              </w:rPr>
              <w:t>Percentage of total energy occurring in peak hours  averaged over proxy days</w:t>
            </w:r>
          </w:p>
        </w:tc>
      </w:tr>
    </w:tbl>
    <w:p w:rsidR="006A7080" w:rsidRDefault="006A7080" w:rsidP="006A7080">
      <w:pPr>
        <w:pStyle w:val="BodyParaAfterTableFigure"/>
        <w:rPr>
          <w:sz w:val="20"/>
        </w:rPr>
      </w:pPr>
      <w:r>
        <w:t xml:space="preserve"> </w:t>
      </w:r>
      <w:r>
        <w:br w:type="page"/>
      </w:r>
    </w:p>
    <w:p w:rsidR="006A7080" w:rsidRDefault="006A7080" w:rsidP="006A7080">
      <w:pPr>
        <w:pStyle w:val="TableFigureCaption"/>
      </w:pPr>
      <w:r>
        <w:lastRenderedPageBreak/>
        <w:t>Table A-3: Description of Hard Match Variables</w:t>
      </w:r>
    </w:p>
    <w:tbl>
      <w:tblPr>
        <w:tblW w:w="9335" w:type="dxa"/>
        <w:jc w:val="center"/>
        <w:tblLook w:val="04A0" w:firstRow="1" w:lastRow="0" w:firstColumn="1" w:lastColumn="0" w:noHBand="0" w:noVBand="1"/>
      </w:tblPr>
      <w:tblGrid>
        <w:gridCol w:w="2586"/>
        <w:gridCol w:w="6749"/>
      </w:tblGrid>
      <w:tr w:rsidR="006A7080" w:rsidTr="00022617">
        <w:trPr>
          <w:trHeight w:val="304"/>
          <w:tblHeader/>
          <w:jc w:val="center"/>
        </w:trPr>
        <w:tc>
          <w:tcPr>
            <w:tcW w:w="2586"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Default="006A7080" w:rsidP="003B398F">
            <w:pPr>
              <w:pStyle w:val="TableHeader"/>
              <w:spacing w:line="276" w:lineRule="auto"/>
            </w:pPr>
            <w:r>
              <w:t>Variable</w:t>
            </w:r>
          </w:p>
        </w:tc>
        <w:tc>
          <w:tcPr>
            <w:tcW w:w="6749" w:type="dxa"/>
            <w:tcBorders>
              <w:top w:val="single" w:sz="4" w:space="0" w:color="auto"/>
              <w:left w:val="nil"/>
              <w:bottom w:val="single" w:sz="4" w:space="0" w:color="auto"/>
              <w:right w:val="single" w:sz="4" w:space="0" w:color="auto"/>
            </w:tcBorders>
            <w:shd w:val="clear" w:color="auto" w:fill="0070CD"/>
            <w:noWrap/>
            <w:vAlign w:val="bottom"/>
            <w:hideMark/>
          </w:tcPr>
          <w:p w:rsidR="006A7080" w:rsidRDefault="006A7080" w:rsidP="003B398F">
            <w:pPr>
              <w:pStyle w:val="TableHeader"/>
              <w:spacing w:line="276" w:lineRule="auto"/>
            </w:pPr>
            <w:r>
              <w:t>Description</w:t>
            </w:r>
          </w:p>
        </w:tc>
      </w:tr>
      <w:tr w:rsidR="006A7080" w:rsidTr="003B398F">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C751A6" w:rsidRDefault="006A7080" w:rsidP="003B398F">
            <w:pPr>
              <w:pStyle w:val="TableText"/>
              <w:rPr>
                <w:i/>
              </w:rPr>
            </w:pPr>
            <w:r w:rsidRPr="00C751A6">
              <w:rPr>
                <w:i/>
              </w:rPr>
              <w:t xml:space="preserve">Quintiles of </w:t>
            </w:r>
            <w:proofErr w:type="spellStart"/>
            <w:r w:rsidRPr="00C751A6">
              <w:rPr>
                <w:i/>
              </w:rPr>
              <w:t>Avg</w:t>
            </w:r>
            <w:proofErr w:type="spellEnd"/>
            <w:r w:rsidRPr="00C751A6">
              <w:rPr>
                <w:i/>
              </w:rPr>
              <w:t xml:space="preserve"> Summer Day kWh</w:t>
            </w:r>
          </w:p>
        </w:tc>
        <w:tc>
          <w:tcPr>
            <w:tcW w:w="6749"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t xml:space="preserve">Customers divided into five equal groups according to the distribution of </w:t>
            </w:r>
            <w:proofErr w:type="spellStart"/>
            <w:r w:rsidRPr="002C66A3">
              <w:rPr>
                <w:i/>
              </w:rPr>
              <w:t>Avg</w:t>
            </w:r>
            <w:proofErr w:type="spellEnd"/>
            <w:r w:rsidRPr="002C66A3">
              <w:rPr>
                <w:i/>
              </w:rPr>
              <w:t xml:space="preserve"> Summer Day kWh</w:t>
            </w:r>
          </w:p>
        </w:tc>
      </w:tr>
      <w:tr w:rsidR="006A7080" w:rsidTr="003B398F">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C751A6" w:rsidRDefault="006A7080" w:rsidP="003B398F">
            <w:pPr>
              <w:pStyle w:val="TableText"/>
              <w:rPr>
                <w:i/>
              </w:rPr>
            </w:pPr>
            <w:proofErr w:type="spellStart"/>
            <w:r w:rsidRPr="00C751A6">
              <w:rPr>
                <w:i/>
              </w:rPr>
              <w:t>Deciles</w:t>
            </w:r>
            <w:proofErr w:type="spellEnd"/>
            <w:r w:rsidRPr="00C751A6">
              <w:rPr>
                <w:i/>
              </w:rPr>
              <w:t xml:space="preserve"> of </w:t>
            </w:r>
            <w:proofErr w:type="spellStart"/>
            <w:r w:rsidRPr="00C751A6">
              <w:rPr>
                <w:i/>
              </w:rPr>
              <w:t>Avg</w:t>
            </w:r>
            <w:proofErr w:type="spellEnd"/>
            <w:r w:rsidRPr="00C751A6">
              <w:rPr>
                <w:i/>
              </w:rPr>
              <w:t xml:space="preserve"> Summer Day kWh</w:t>
            </w:r>
          </w:p>
        </w:tc>
        <w:tc>
          <w:tcPr>
            <w:tcW w:w="6749"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t xml:space="preserve">Customers divided into 10 equal groups according to the distribution of </w:t>
            </w:r>
            <w:proofErr w:type="spellStart"/>
            <w:r w:rsidRPr="002C66A3">
              <w:rPr>
                <w:i/>
              </w:rPr>
              <w:t>Avg</w:t>
            </w:r>
            <w:proofErr w:type="spellEnd"/>
            <w:r w:rsidRPr="002C66A3">
              <w:rPr>
                <w:i/>
              </w:rPr>
              <w:t xml:space="preserve"> Summer Day kWh</w:t>
            </w:r>
          </w:p>
        </w:tc>
      </w:tr>
      <w:tr w:rsidR="006A7080" w:rsidTr="003B398F">
        <w:trPr>
          <w:trHeight w:val="218"/>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C751A6" w:rsidRDefault="006A7080" w:rsidP="003B398F">
            <w:pPr>
              <w:pStyle w:val="TableText"/>
              <w:rPr>
                <w:i/>
              </w:rPr>
            </w:pPr>
            <w:r w:rsidRPr="00C751A6">
              <w:rPr>
                <w:i/>
              </w:rPr>
              <w:t xml:space="preserve">15-tiles of </w:t>
            </w:r>
            <w:proofErr w:type="spellStart"/>
            <w:r w:rsidRPr="00C751A6">
              <w:rPr>
                <w:i/>
              </w:rPr>
              <w:t>Avg</w:t>
            </w:r>
            <w:proofErr w:type="spellEnd"/>
            <w:r w:rsidRPr="00C751A6">
              <w:rPr>
                <w:i/>
              </w:rPr>
              <w:t xml:space="preserve"> Summer Day kWh</w:t>
            </w:r>
          </w:p>
        </w:tc>
        <w:tc>
          <w:tcPr>
            <w:tcW w:w="6749" w:type="dxa"/>
            <w:tcBorders>
              <w:top w:val="nil"/>
              <w:left w:val="nil"/>
              <w:bottom w:val="single" w:sz="4" w:space="0" w:color="auto"/>
              <w:right w:val="single" w:sz="4" w:space="0" w:color="auto"/>
            </w:tcBorders>
            <w:vAlign w:val="center"/>
            <w:hideMark/>
          </w:tcPr>
          <w:p w:rsidR="006A7080" w:rsidRPr="003D32E4" w:rsidRDefault="006A7080" w:rsidP="003B398F">
            <w:pPr>
              <w:pStyle w:val="TableText"/>
              <w:jc w:val="left"/>
              <w:rPr>
                <w:rFonts w:eastAsia="Calibri" w:cs="Times New Roman"/>
              </w:rPr>
            </w:pPr>
            <w:r>
              <w:t xml:space="preserve">Customers divided into 15 equal groups according to the distribution of </w:t>
            </w:r>
            <w:proofErr w:type="spellStart"/>
            <w:r>
              <w:rPr>
                <w:i/>
              </w:rPr>
              <w:t>Avg</w:t>
            </w:r>
            <w:proofErr w:type="spellEnd"/>
            <w:r>
              <w:rPr>
                <w:i/>
              </w:rPr>
              <w:t xml:space="preserve"> Summer Day kWh</w:t>
            </w:r>
          </w:p>
        </w:tc>
      </w:tr>
      <w:tr w:rsidR="006A7080" w:rsidTr="003B398F">
        <w:trPr>
          <w:trHeight w:val="304"/>
          <w:jc w:val="center"/>
        </w:trPr>
        <w:tc>
          <w:tcPr>
            <w:tcW w:w="2586" w:type="dxa"/>
            <w:tcBorders>
              <w:top w:val="nil"/>
              <w:left w:val="single" w:sz="4" w:space="0" w:color="auto"/>
              <w:bottom w:val="single" w:sz="4" w:space="0" w:color="auto"/>
              <w:right w:val="single" w:sz="4" w:space="0" w:color="auto"/>
            </w:tcBorders>
            <w:noWrap/>
            <w:vAlign w:val="center"/>
            <w:hideMark/>
          </w:tcPr>
          <w:p w:rsidR="006A7080" w:rsidRPr="00C751A6" w:rsidRDefault="006A7080" w:rsidP="003B398F">
            <w:pPr>
              <w:pStyle w:val="TableText"/>
              <w:rPr>
                <w:i/>
              </w:rPr>
            </w:pPr>
            <w:r w:rsidRPr="00C751A6">
              <w:rPr>
                <w:i/>
              </w:rPr>
              <w:t>Weather Station</w:t>
            </w:r>
          </w:p>
        </w:tc>
        <w:tc>
          <w:tcPr>
            <w:tcW w:w="6749" w:type="dxa"/>
            <w:tcBorders>
              <w:top w:val="nil"/>
              <w:left w:val="nil"/>
              <w:bottom w:val="single" w:sz="4" w:space="0" w:color="auto"/>
              <w:right w:val="single" w:sz="4" w:space="0" w:color="auto"/>
            </w:tcBorders>
            <w:noWrap/>
            <w:vAlign w:val="center"/>
            <w:hideMark/>
          </w:tcPr>
          <w:p w:rsidR="006A7080" w:rsidRPr="00A61B6E" w:rsidRDefault="006A7080" w:rsidP="003B398F">
            <w:pPr>
              <w:pStyle w:val="TableText"/>
              <w:jc w:val="left"/>
              <w:rPr>
                <w:rFonts w:eastAsia="Calibri" w:cs="Times New Roman"/>
              </w:rPr>
            </w:pPr>
            <w:r>
              <w:t>Customers divided into groups according to their weather station</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r w:rsidRPr="00C751A6">
              <w:rPr>
                <w:i/>
              </w:rPr>
              <w:t>LCA</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Customers divided into groups according to their LCA</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r w:rsidRPr="00C751A6">
              <w:rPr>
                <w:i/>
              </w:rPr>
              <w:t>Industry</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Customers divided into groups according to their industry</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proofErr w:type="spellStart"/>
            <w:r w:rsidRPr="00C751A6">
              <w:rPr>
                <w:i/>
              </w:rPr>
              <w:t>Avg</w:t>
            </w:r>
            <w:proofErr w:type="spellEnd"/>
            <w:r w:rsidRPr="00C751A6">
              <w:rPr>
                <w:i/>
              </w:rPr>
              <w:t xml:space="preserve"> Summer Day kWh 2-tiles within LCA</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 xml:space="preserve">Customers in each LCA are divided into two equal groups according to the distribution of </w:t>
            </w:r>
            <w:proofErr w:type="spellStart"/>
            <w:r w:rsidRPr="00C751A6">
              <w:rPr>
                <w:i/>
              </w:rPr>
              <w:t>Avg</w:t>
            </w:r>
            <w:proofErr w:type="spellEnd"/>
            <w:r w:rsidRPr="00C751A6">
              <w:rPr>
                <w:i/>
              </w:rPr>
              <w:t xml:space="preserve"> Summer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proofErr w:type="spellStart"/>
            <w:r w:rsidRPr="00C751A6">
              <w:rPr>
                <w:i/>
              </w:rPr>
              <w:t>Avg</w:t>
            </w:r>
            <w:proofErr w:type="spellEnd"/>
            <w:r w:rsidRPr="00C751A6">
              <w:rPr>
                <w:i/>
              </w:rPr>
              <w:t xml:space="preserve"> Summer Day kWh 2-tiles within Industry</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 xml:space="preserve">Customers in each Industry are divided into two equal groups according to the distribution of </w:t>
            </w:r>
            <w:proofErr w:type="spellStart"/>
            <w:r w:rsidRPr="00C751A6">
              <w:rPr>
                <w:i/>
              </w:rPr>
              <w:t>Avg</w:t>
            </w:r>
            <w:proofErr w:type="spellEnd"/>
            <w:r w:rsidRPr="00C751A6">
              <w:rPr>
                <w:i/>
              </w:rPr>
              <w:t xml:space="preserve"> Summer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r w:rsidRPr="00C751A6">
              <w:rPr>
                <w:i/>
              </w:rPr>
              <w:t xml:space="preserve">Quintiles of </w:t>
            </w:r>
            <w:proofErr w:type="spellStart"/>
            <w:r w:rsidRPr="00C751A6">
              <w:rPr>
                <w:i/>
              </w:rPr>
              <w:t>Avg</w:t>
            </w:r>
            <w:proofErr w:type="spellEnd"/>
            <w:r w:rsidRPr="00C751A6">
              <w:rPr>
                <w:i/>
              </w:rPr>
              <w:t xml:space="preserve"> Proxy Day kWh</w:t>
            </w:r>
          </w:p>
        </w:tc>
        <w:tc>
          <w:tcPr>
            <w:tcW w:w="6749" w:type="dxa"/>
            <w:tcBorders>
              <w:top w:val="single" w:sz="4" w:space="0" w:color="auto"/>
              <w:left w:val="nil"/>
              <w:bottom w:val="single" w:sz="4" w:space="0" w:color="auto"/>
              <w:right w:val="single" w:sz="4" w:space="0" w:color="auto"/>
            </w:tcBorders>
            <w:noWrap/>
            <w:vAlign w:val="center"/>
          </w:tcPr>
          <w:p w:rsidR="006A7080" w:rsidRPr="00A61B6E" w:rsidRDefault="006A7080" w:rsidP="003B398F">
            <w:pPr>
              <w:pStyle w:val="TableText"/>
              <w:jc w:val="left"/>
              <w:rPr>
                <w:rFonts w:eastAsia="Calibri" w:cs="Times New Roman"/>
              </w:rPr>
            </w:pPr>
            <w:r>
              <w:t xml:space="preserve">Customers divided into five equal groups according to the distribution of </w:t>
            </w:r>
            <w:proofErr w:type="spellStart"/>
            <w:r>
              <w:rPr>
                <w:i/>
              </w:rPr>
              <w:t>Avg</w:t>
            </w:r>
            <w:proofErr w:type="spellEnd"/>
            <w:r>
              <w:rPr>
                <w:i/>
              </w:rPr>
              <w:t xml:space="preserve"> Proxy</w:t>
            </w:r>
            <w:r w:rsidRPr="002C66A3">
              <w:rPr>
                <w:i/>
              </w:rPr>
              <w:t xml:space="preserve">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proofErr w:type="spellStart"/>
            <w:r w:rsidRPr="00C751A6">
              <w:rPr>
                <w:i/>
              </w:rPr>
              <w:t>Deciles</w:t>
            </w:r>
            <w:proofErr w:type="spellEnd"/>
            <w:r w:rsidRPr="00C751A6">
              <w:rPr>
                <w:i/>
              </w:rPr>
              <w:t xml:space="preserve"> of </w:t>
            </w:r>
            <w:proofErr w:type="spellStart"/>
            <w:r w:rsidRPr="00C751A6">
              <w:rPr>
                <w:i/>
              </w:rPr>
              <w:t>Avg</w:t>
            </w:r>
            <w:proofErr w:type="spellEnd"/>
            <w:r w:rsidRPr="00C751A6">
              <w:rPr>
                <w:i/>
              </w:rPr>
              <w:t xml:space="preserve"> Proxy Day kWh</w:t>
            </w:r>
          </w:p>
        </w:tc>
        <w:tc>
          <w:tcPr>
            <w:tcW w:w="6749" w:type="dxa"/>
            <w:tcBorders>
              <w:top w:val="single" w:sz="4" w:space="0" w:color="auto"/>
              <w:left w:val="nil"/>
              <w:bottom w:val="single" w:sz="4" w:space="0" w:color="auto"/>
              <w:right w:val="single" w:sz="4" w:space="0" w:color="auto"/>
            </w:tcBorders>
            <w:noWrap/>
            <w:vAlign w:val="center"/>
          </w:tcPr>
          <w:p w:rsidR="006A7080" w:rsidRPr="00A61B6E" w:rsidRDefault="006A7080" w:rsidP="003B398F">
            <w:pPr>
              <w:pStyle w:val="TableText"/>
              <w:jc w:val="left"/>
              <w:rPr>
                <w:rFonts w:eastAsia="Calibri" w:cs="Times New Roman"/>
              </w:rPr>
            </w:pPr>
            <w:r>
              <w:t xml:space="preserve">Customers divided into 10 equal groups according to the distribution of </w:t>
            </w:r>
            <w:proofErr w:type="spellStart"/>
            <w:r>
              <w:rPr>
                <w:i/>
              </w:rPr>
              <w:t>Avg</w:t>
            </w:r>
            <w:proofErr w:type="spellEnd"/>
            <w:r>
              <w:rPr>
                <w:i/>
              </w:rPr>
              <w:t xml:space="preserve"> Proxy</w:t>
            </w:r>
            <w:r w:rsidRPr="002C66A3">
              <w:rPr>
                <w:i/>
              </w:rPr>
              <w:t xml:space="preserve">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r w:rsidRPr="00C751A6">
              <w:rPr>
                <w:i/>
              </w:rPr>
              <w:t xml:space="preserve">15-tiles of </w:t>
            </w:r>
            <w:proofErr w:type="spellStart"/>
            <w:r w:rsidRPr="00C751A6">
              <w:rPr>
                <w:i/>
              </w:rPr>
              <w:t>Avg</w:t>
            </w:r>
            <w:proofErr w:type="spellEnd"/>
            <w:r w:rsidRPr="00C751A6">
              <w:rPr>
                <w:i/>
              </w:rPr>
              <w:t xml:space="preserve"> Proxy Day kWh</w:t>
            </w:r>
          </w:p>
        </w:tc>
        <w:tc>
          <w:tcPr>
            <w:tcW w:w="6749" w:type="dxa"/>
            <w:tcBorders>
              <w:top w:val="single" w:sz="4" w:space="0" w:color="auto"/>
              <w:left w:val="nil"/>
              <w:bottom w:val="single" w:sz="4" w:space="0" w:color="auto"/>
              <w:right w:val="single" w:sz="4" w:space="0" w:color="auto"/>
            </w:tcBorders>
            <w:noWrap/>
            <w:vAlign w:val="center"/>
          </w:tcPr>
          <w:p w:rsidR="006A7080" w:rsidRPr="003D32E4" w:rsidRDefault="006A7080" w:rsidP="003B398F">
            <w:pPr>
              <w:pStyle w:val="TableText"/>
              <w:jc w:val="left"/>
              <w:rPr>
                <w:rFonts w:eastAsia="Calibri" w:cs="Times New Roman"/>
              </w:rPr>
            </w:pPr>
            <w:r>
              <w:t xml:space="preserve">Customers divided into 15 equal groups according to the distribution of </w:t>
            </w:r>
            <w:proofErr w:type="spellStart"/>
            <w:r>
              <w:rPr>
                <w:i/>
              </w:rPr>
              <w:t>Avg</w:t>
            </w:r>
            <w:proofErr w:type="spellEnd"/>
            <w:r>
              <w:rPr>
                <w:i/>
              </w:rPr>
              <w:t xml:space="preserve"> Proxy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proofErr w:type="spellStart"/>
            <w:r w:rsidRPr="00C751A6">
              <w:rPr>
                <w:i/>
              </w:rPr>
              <w:t>Avg</w:t>
            </w:r>
            <w:proofErr w:type="spellEnd"/>
            <w:r w:rsidRPr="00C751A6">
              <w:rPr>
                <w:i/>
              </w:rPr>
              <w:t xml:space="preserve"> Proxy Day kWh 2-tiles within LCA</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 xml:space="preserve">Customers in each LCA are divided into two equal groups according to the distribution of </w:t>
            </w:r>
            <w:proofErr w:type="spellStart"/>
            <w:r w:rsidRPr="00C751A6">
              <w:rPr>
                <w:i/>
              </w:rPr>
              <w:t>Avg</w:t>
            </w:r>
            <w:proofErr w:type="spellEnd"/>
            <w:r w:rsidRPr="00C751A6">
              <w:rPr>
                <w:i/>
              </w:rPr>
              <w:t xml:space="preserve"> Proxy Day kWh</w:t>
            </w:r>
          </w:p>
        </w:tc>
      </w:tr>
      <w:tr w:rsidR="006A7080" w:rsidTr="003B398F">
        <w:trPr>
          <w:trHeight w:val="304"/>
          <w:jc w:val="center"/>
        </w:trPr>
        <w:tc>
          <w:tcPr>
            <w:tcW w:w="2586" w:type="dxa"/>
            <w:tcBorders>
              <w:top w:val="single" w:sz="4" w:space="0" w:color="auto"/>
              <w:left w:val="single" w:sz="4" w:space="0" w:color="auto"/>
              <w:bottom w:val="single" w:sz="4" w:space="0" w:color="auto"/>
              <w:right w:val="single" w:sz="4" w:space="0" w:color="auto"/>
            </w:tcBorders>
            <w:noWrap/>
            <w:vAlign w:val="center"/>
          </w:tcPr>
          <w:p w:rsidR="006A7080" w:rsidRPr="00C751A6" w:rsidRDefault="006A7080" w:rsidP="003B398F">
            <w:pPr>
              <w:pStyle w:val="TableText"/>
              <w:rPr>
                <w:i/>
              </w:rPr>
            </w:pPr>
            <w:proofErr w:type="spellStart"/>
            <w:r w:rsidRPr="00C751A6">
              <w:rPr>
                <w:i/>
              </w:rPr>
              <w:t>Avg</w:t>
            </w:r>
            <w:proofErr w:type="spellEnd"/>
            <w:r w:rsidRPr="00C751A6">
              <w:rPr>
                <w:i/>
              </w:rPr>
              <w:t xml:space="preserve"> Proxy Day kWh 2-tiles within Industry</w:t>
            </w:r>
          </w:p>
        </w:tc>
        <w:tc>
          <w:tcPr>
            <w:tcW w:w="6749" w:type="dxa"/>
            <w:tcBorders>
              <w:top w:val="single" w:sz="4" w:space="0" w:color="auto"/>
              <w:left w:val="nil"/>
              <w:bottom w:val="single" w:sz="4" w:space="0" w:color="auto"/>
              <w:right w:val="single" w:sz="4" w:space="0" w:color="auto"/>
            </w:tcBorders>
            <w:noWrap/>
            <w:vAlign w:val="center"/>
          </w:tcPr>
          <w:p w:rsidR="006A7080" w:rsidRDefault="006A7080" w:rsidP="003B398F">
            <w:pPr>
              <w:pStyle w:val="TableText"/>
              <w:jc w:val="left"/>
            </w:pPr>
            <w:r>
              <w:t xml:space="preserve">Customers in each Industry are divided into two equal groups according to the distribution of </w:t>
            </w:r>
            <w:proofErr w:type="spellStart"/>
            <w:r w:rsidRPr="00C751A6">
              <w:rPr>
                <w:i/>
              </w:rPr>
              <w:t>Avg</w:t>
            </w:r>
            <w:proofErr w:type="spellEnd"/>
            <w:r w:rsidRPr="00C751A6">
              <w:rPr>
                <w:i/>
              </w:rPr>
              <w:t xml:space="preserve"> Proxy Day kWh</w:t>
            </w:r>
          </w:p>
        </w:tc>
      </w:tr>
    </w:tbl>
    <w:p w:rsidR="006A7080" w:rsidRDefault="006A7080" w:rsidP="009551EB">
      <w:pPr>
        <w:pStyle w:val="BodyParagraph"/>
      </w:pPr>
    </w:p>
    <w:p w:rsidR="006A7080" w:rsidRDefault="006A7080" w:rsidP="006A7080">
      <w:pPr>
        <w:pStyle w:val="BodyParagraph"/>
      </w:pPr>
    </w:p>
    <w:p w:rsidR="006A7080" w:rsidRDefault="006A7080" w:rsidP="006A7080">
      <w:pPr>
        <w:pStyle w:val="BodyParagraph"/>
      </w:pPr>
    </w:p>
    <w:p w:rsidR="006A7080" w:rsidRDefault="006A7080" w:rsidP="006A7080">
      <w:pPr>
        <w:pStyle w:val="BodyParagraph"/>
      </w:pPr>
    </w:p>
    <w:p w:rsidR="006A7080" w:rsidRDefault="006A7080" w:rsidP="006A7080">
      <w:pPr>
        <w:pStyle w:val="BodyParagraph"/>
      </w:pPr>
    </w:p>
    <w:p w:rsidR="006A7080" w:rsidRDefault="006A7080" w:rsidP="006A7080">
      <w:pPr>
        <w:pStyle w:val="BodyParagraph"/>
      </w:pPr>
    </w:p>
    <w:p w:rsidR="006A7080" w:rsidRDefault="006A7080" w:rsidP="006A7080">
      <w:pPr>
        <w:pStyle w:val="BodyParagraph"/>
      </w:pPr>
    </w:p>
    <w:p w:rsidR="006A7080" w:rsidRPr="00E35B9A" w:rsidRDefault="006A7080" w:rsidP="006A7080">
      <w:pPr>
        <w:pStyle w:val="BodyParagraph"/>
      </w:pPr>
    </w:p>
    <w:p w:rsidR="006A7080" w:rsidRDefault="005D7B41" w:rsidP="001A7673">
      <w:pPr>
        <w:pStyle w:val="AppendixHeading"/>
        <w:numPr>
          <w:ilvl w:val="0"/>
          <w:numId w:val="9"/>
        </w:numPr>
        <w:ind w:left="2160" w:hanging="2160"/>
      </w:pPr>
      <w:bookmarkStart w:id="275" w:name="_Toc415494818"/>
      <w:r>
        <w:lastRenderedPageBreak/>
        <w:t>Matching Model Selection Summa</w:t>
      </w:r>
      <w:r w:rsidR="006A7080">
        <w:t xml:space="preserve">ry Statistics </w:t>
      </w:r>
      <w:r w:rsidR="001A7673">
        <w:br/>
      </w:r>
      <w:r w:rsidR="006A7080">
        <w:t>and Rankings</w:t>
      </w:r>
      <w:bookmarkEnd w:id="275"/>
    </w:p>
    <w:p w:rsidR="005D7B41" w:rsidRDefault="006A7080" w:rsidP="006A7080">
      <w:pPr>
        <w:pStyle w:val="BodyParagraph"/>
      </w:pPr>
      <w:r>
        <w:t xml:space="preserve">Tables B-1, B-2 and B-3 show summary statistics and rankings for the candidate </w:t>
      </w:r>
      <w:proofErr w:type="spellStart"/>
      <w:r w:rsidR="005D7B41">
        <w:t>probit</w:t>
      </w:r>
      <w:proofErr w:type="spellEnd"/>
      <w:r w:rsidR="005D7B41">
        <w:t xml:space="preserve"> </w:t>
      </w:r>
      <w:r>
        <w:t>models</w:t>
      </w:r>
      <w:r w:rsidR="005D7B41">
        <w:t xml:space="preserve"> described in Appendix A</w:t>
      </w:r>
      <w:proofErr w:type="gramStart"/>
      <w:r>
        <w:t xml:space="preserve">.  </w:t>
      </w:r>
      <w:proofErr w:type="gramEnd"/>
      <w:r w:rsidR="005D7B41">
        <w:t xml:space="preserve">For purposes of comparison, we present the </w:t>
      </w:r>
      <w:r w:rsidR="00281447">
        <w:t xml:space="preserve">50 </w:t>
      </w:r>
      <w:r w:rsidR="005D7B41">
        <w:t>best performing models of those tested, as well as the single worst performing model at the end of the table</w:t>
      </w:r>
      <w:proofErr w:type="gramStart"/>
      <w:r w:rsidR="005D7B41">
        <w:t xml:space="preserve">.  </w:t>
      </w:r>
      <w:proofErr w:type="gramEnd"/>
      <w:r>
        <w:t>The final chosen model is highlighted in grey, and the worst performing model is highlighted in</w:t>
      </w:r>
      <w:r w:rsidR="00281447">
        <w:t> </w:t>
      </w:r>
      <w:r>
        <w:t>red</w:t>
      </w:r>
      <w:proofErr w:type="gramStart"/>
      <w:r>
        <w:t xml:space="preserve">.  </w:t>
      </w:r>
      <w:proofErr w:type="gramEnd"/>
      <w:r w:rsidR="005D7B41">
        <w:t>As described in Section 3.1, the ultimate model selection was not performed in a rule-based fashion, but outcomes from the selection procedure were used to inform our decision making</w:t>
      </w:r>
      <w:proofErr w:type="gramStart"/>
      <w:r w:rsidR="005D7B41">
        <w:t xml:space="preserve">.  </w:t>
      </w:r>
      <w:proofErr w:type="gramEnd"/>
      <w:r w:rsidR="005D7B41">
        <w:t>For example, while other model parameters were allowed to vary, Nexant decided to perform a hard match within industry for each IOU’s matching model</w:t>
      </w:r>
      <w:proofErr w:type="gramStart"/>
      <w:r w:rsidR="005D7B41">
        <w:t xml:space="preserve">.  </w:t>
      </w:r>
      <w:proofErr w:type="gramEnd"/>
      <w:r w:rsidR="005D7B41">
        <w:t>This decision was made to limit the seasonal variation that was observed in certain industries, such as schools, and on the basis of its intuitive sense</w:t>
      </w:r>
      <w:proofErr w:type="gramStart"/>
      <w:r w:rsidR="005D7B41">
        <w:t xml:space="preserve">. </w:t>
      </w:r>
      <w:r w:rsidR="00281447">
        <w:t xml:space="preserve"> </w:t>
      </w:r>
      <w:proofErr w:type="gramEnd"/>
      <w:r w:rsidR="005D7B41">
        <w:t>The final model was then selected on the basis of average percent error, taking into account both its absolute value and its deviation across the excluded days, provided that the absolute sum of errors was acceptable relative to other potential models.</w:t>
      </w:r>
    </w:p>
    <w:p w:rsidR="005D7B41" w:rsidRDefault="006A7080" w:rsidP="005D7B41">
      <w:pPr>
        <w:pStyle w:val="TableFigureCaption"/>
      </w:pPr>
      <w:r w:rsidRPr="00C737D9">
        <w:lastRenderedPageBreak/>
        <w:t xml:space="preserve">Table B-1: PG&amp;E </w:t>
      </w:r>
      <w:r w:rsidR="005D7B41">
        <w:t>Matching Model Selection Summa</w:t>
      </w:r>
      <w:r w:rsidR="005D7B41" w:rsidRPr="005D7B41">
        <w:t>ry Statistics and Rankings</w:t>
      </w:r>
    </w:p>
    <w:p w:rsidR="006A7080" w:rsidRPr="00C737D9" w:rsidRDefault="006A7080" w:rsidP="005D7B41">
      <w:pPr>
        <w:pStyle w:val="BodyParagraph"/>
        <w:jc w:val="center"/>
        <w:rPr>
          <w:b/>
        </w:rPr>
      </w:pPr>
      <w:r w:rsidRPr="00C737D9">
        <w:rPr>
          <w:noProof/>
        </w:rPr>
        <w:drawing>
          <wp:inline distT="0" distB="0" distL="0" distR="0" wp14:anchorId="21BA128F" wp14:editId="7A66C9B1">
            <wp:extent cx="5852160" cy="7782713"/>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852160" cy="7782713"/>
                    </a:xfrm>
                    <a:prstGeom prst="rect">
                      <a:avLst/>
                    </a:prstGeom>
                    <a:noFill/>
                    <a:ln>
                      <a:noFill/>
                    </a:ln>
                  </pic:spPr>
                </pic:pic>
              </a:graphicData>
            </a:graphic>
          </wp:inline>
        </w:drawing>
      </w:r>
    </w:p>
    <w:p w:rsidR="005D7B41" w:rsidRDefault="005D7B41" w:rsidP="005D7B41">
      <w:pPr>
        <w:pStyle w:val="TableFigureCaption"/>
      </w:pPr>
      <w:r>
        <w:lastRenderedPageBreak/>
        <w:t>Table B-2</w:t>
      </w:r>
      <w:r w:rsidRPr="00C737D9">
        <w:t xml:space="preserve">: </w:t>
      </w:r>
      <w:r>
        <w:t>SC</w:t>
      </w:r>
      <w:r w:rsidRPr="00C737D9">
        <w:t xml:space="preserve">E </w:t>
      </w:r>
      <w:r>
        <w:t>Matching Model Selection Summa</w:t>
      </w:r>
      <w:r w:rsidRPr="005D7B41">
        <w:t>ry Statistics and Rankings</w:t>
      </w:r>
    </w:p>
    <w:p w:rsidR="006A7080" w:rsidRDefault="006A7080" w:rsidP="006A7080">
      <w:pPr>
        <w:pStyle w:val="BodyParagraph"/>
        <w:jc w:val="center"/>
        <w:rPr>
          <w:b/>
        </w:rPr>
      </w:pPr>
      <w:r w:rsidRPr="003347E4">
        <w:rPr>
          <w:noProof/>
        </w:rPr>
        <w:drawing>
          <wp:inline distT="0" distB="0" distL="0" distR="0" wp14:anchorId="54549205" wp14:editId="4B72BA49">
            <wp:extent cx="5943600" cy="7896312"/>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3600" cy="7896312"/>
                    </a:xfrm>
                    <a:prstGeom prst="rect">
                      <a:avLst/>
                    </a:prstGeom>
                    <a:noFill/>
                    <a:ln>
                      <a:noFill/>
                    </a:ln>
                  </pic:spPr>
                </pic:pic>
              </a:graphicData>
            </a:graphic>
          </wp:inline>
        </w:drawing>
      </w:r>
      <w:r w:rsidRPr="00CC292E">
        <w:rPr>
          <w:b/>
        </w:rPr>
        <w:t xml:space="preserve"> </w:t>
      </w:r>
    </w:p>
    <w:p w:rsidR="005D7B41" w:rsidRDefault="005D7B41" w:rsidP="005D7B41">
      <w:pPr>
        <w:pStyle w:val="TableFigureCaption"/>
      </w:pPr>
      <w:r>
        <w:lastRenderedPageBreak/>
        <w:t>Table B-3: SD</w:t>
      </w:r>
      <w:r w:rsidRPr="00C737D9">
        <w:t xml:space="preserve">G&amp;E </w:t>
      </w:r>
      <w:r>
        <w:t>Matching Model Selection Summa</w:t>
      </w:r>
      <w:r w:rsidRPr="005D7B41">
        <w:t>ry Statistics and Rankings</w:t>
      </w:r>
    </w:p>
    <w:p w:rsidR="006A7080" w:rsidRPr="00C737D9" w:rsidRDefault="006A7080" w:rsidP="006A7080">
      <w:pPr>
        <w:pStyle w:val="BodyParagraph"/>
        <w:jc w:val="center"/>
        <w:rPr>
          <w:b/>
        </w:rPr>
        <w:sectPr w:rsidR="006A7080" w:rsidRPr="00C737D9" w:rsidSect="003B398F">
          <w:headerReference w:type="default" r:id="rId103"/>
          <w:pgSz w:w="12240" w:h="15840"/>
          <w:pgMar w:top="1440" w:right="1440" w:bottom="1440" w:left="1440" w:header="720" w:footer="720" w:gutter="0"/>
          <w:cols w:space="720"/>
          <w:docGrid w:linePitch="360"/>
        </w:sectPr>
      </w:pPr>
      <w:r w:rsidRPr="00C737D9">
        <w:rPr>
          <w:noProof/>
        </w:rPr>
        <w:drawing>
          <wp:inline distT="0" distB="0" distL="0" distR="0" wp14:anchorId="0B614EA6" wp14:editId="2F12FEC3">
            <wp:extent cx="5943600" cy="7942382"/>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3600" cy="7942382"/>
                    </a:xfrm>
                    <a:prstGeom prst="rect">
                      <a:avLst/>
                    </a:prstGeom>
                    <a:noFill/>
                    <a:ln>
                      <a:noFill/>
                    </a:ln>
                  </pic:spPr>
                </pic:pic>
              </a:graphicData>
            </a:graphic>
          </wp:inline>
        </w:drawing>
      </w:r>
    </w:p>
    <w:p w:rsidR="006A7080" w:rsidRDefault="006A7080" w:rsidP="006A7080">
      <w:pPr>
        <w:pStyle w:val="AppendixHeading"/>
        <w:numPr>
          <w:ilvl w:val="0"/>
          <w:numId w:val="9"/>
        </w:numPr>
      </w:pPr>
      <w:bookmarkStart w:id="276" w:name="_Toc352323669"/>
      <w:bookmarkStart w:id="277" w:name="_Toc412650638"/>
      <w:bookmarkStart w:id="278" w:name="_Toc415494819"/>
      <w:r w:rsidRPr="00EF5842">
        <w:lastRenderedPageBreak/>
        <w:t>Difference</w:t>
      </w:r>
      <w:r>
        <w:t>-in-differences Regression Models</w:t>
      </w:r>
      <w:bookmarkEnd w:id="276"/>
      <w:bookmarkEnd w:id="277"/>
      <w:bookmarkEnd w:id="278"/>
    </w:p>
    <w:p w:rsidR="006A7080" w:rsidRDefault="005702AF" w:rsidP="006A7080">
      <w:pPr>
        <w:pStyle w:val="BodyBeforeBullet"/>
      </w:pPr>
      <w:r>
        <w:t>In the fixed effects regression models that estimate the CPP impact through difference-in-differences, s</w:t>
      </w:r>
      <w:r w:rsidR="006A7080">
        <w:t>eparate models are estimated for each hour</w:t>
      </w:r>
      <w:proofErr w:type="gramStart"/>
      <w:r w:rsidR="006A7080">
        <w:t xml:space="preserve">.  </w:t>
      </w:r>
      <w:proofErr w:type="gramEnd"/>
      <w:r w:rsidR="006A7080">
        <w:t>The analysis dataset consisted of the event-like days and actual event days for CPP customers and their matched control group customers</w:t>
      </w:r>
      <w:proofErr w:type="gramStart"/>
      <w:r w:rsidR="006A7080">
        <w:t xml:space="preserve">.  </w:t>
      </w:r>
      <w:proofErr w:type="gramEnd"/>
      <w:r w:rsidR="006A7080">
        <w:t>The dependent variable was the hourly consumption over the course of each hour</w:t>
      </w:r>
      <w:proofErr w:type="gramStart"/>
      <w:r w:rsidR="006A7080">
        <w:t xml:space="preserve">.  </w:t>
      </w:r>
      <w:proofErr w:type="gramEnd"/>
      <w:r w:rsidR="006A7080">
        <w:t>Nexant elected to use a treatment model rather than a price elasticity model for two reasons</w:t>
      </w:r>
      <w:proofErr w:type="gramStart"/>
      <w:r w:rsidR="006A7080">
        <w:t xml:space="preserve">.  </w:t>
      </w:r>
      <w:proofErr w:type="gramEnd"/>
      <w:r w:rsidR="006A7080">
        <w:t>First, for any hour there are only two price points, or at most three, which is insufficient for fitting price elasticity curves</w:t>
      </w:r>
      <w:proofErr w:type="gramStart"/>
      <w:r w:rsidR="006A7080">
        <w:t xml:space="preserve">.  </w:t>
      </w:r>
      <w:proofErr w:type="gramEnd"/>
      <w:r w:rsidR="006A7080">
        <w:t xml:space="preserve">Second, it </w:t>
      </w:r>
      <w:r w:rsidR="006A7080" w:rsidRPr="00A765EB">
        <w:t>avoids assumptions</w:t>
      </w:r>
      <w:r w:rsidR="006A7080">
        <w:t xml:space="preserve"> such as constant price elasticity inherent in demand models</w:t>
      </w:r>
      <w:proofErr w:type="gramStart"/>
      <w:r w:rsidR="006A7080">
        <w:t xml:space="preserve">.  </w:t>
      </w:r>
      <w:proofErr w:type="gramEnd"/>
      <w:r w:rsidR="006A7080">
        <w:t>The model is expressed by the below equations: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8"/>
        <w:gridCol w:w="7848"/>
      </w:tblGrid>
      <w:tr w:rsidR="006A7080" w:rsidTr="003B398F">
        <w:trPr>
          <w:trHeight w:val="432"/>
        </w:trPr>
        <w:tc>
          <w:tcPr>
            <w:tcW w:w="1728" w:type="dxa"/>
            <w:tcMar>
              <w:top w:w="144" w:type="dxa"/>
              <w:left w:w="115" w:type="dxa"/>
              <w:bottom w:w="144" w:type="dxa"/>
              <w:right w:w="115" w:type="dxa"/>
            </w:tcMar>
            <w:vAlign w:val="center"/>
          </w:tcPr>
          <w:p w:rsidR="006A7080" w:rsidRDefault="006A7080" w:rsidP="003B398F">
            <w:pPr>
              <w:pStyle w:val="BodyParagraph"/>
              <w:spacing w:after="0"/>
              <w:jc w:val="center"/>
            </w:pPr>
            <w:r>
              <w:t>Avg. Event Equation:</w:t>
            </w:r>
          </w:p>
        </w:tc>
        <w:tc>
          <w:tcPr>
            <w:tcW w:w="7848" w:type="dxa"/>
            <w:tcMar>
              <w:top w:w="144" w:type="dxa"/>
              <w:left w:w="115" w:type="dxa"/>
              <w:bottom w:w="144" w:type="dxa"/>
              <w:right w:w="115" w:type="dxa"/>
            </w:tcMar>
            <w:vAlign w:val="center"/>
          </w:tcPr>
          <w:p w:rsidR="006A7080" w:rsidRPr="009560DB" w:rsidRDefault="001E777E" w:rsidP="003B398F">
            <w:pPr>
              <w:pStyle w:val="BodyParagraph"/>
              <w:spacing w:after="0"/>
              <w:jc w:val="both"/>
              <w:rPr>
                <w:i/>
                <w:szCs w:val="18"/>
              </w:rPr>
            </w:pPr>
            <m:oMathPara>
              <m:oMathParaPr>
                <m:jc m:val="left"/>
              </m:oMathParaPr>
              <m:oMath>
                <m:sSub>
                  <m:sSubPr>
                    <m:ctrlPr>
                      <w:rPr>
                        <w:rFonts w:ascii="Cambria Math" w:hAnsi="Cambria Math"/>
                        <w:i/>
                        <w:szCs w:val="18"/>
                      </w:rPr>
                    </m:ctrlPr>
                  </m:sSubPr>
                  <m:e>
                    <m:r>
                      <w:rPr>
                        <w:rFonts w:ascii="Cambria Math" w:hAnsi="Cambria Math"/>
                        <w:szCs w:val="18"/>
                      </w:rPr>
                      <m:t>kW</m:t>
                    </m:r>
                  </m:e>
                  <m:sub>
                    <m:r>
                      <w:rPr>
                        <w:rFonts w:ascii="Cambria Math" w:hAnsi="Cambria Math"/>
                        <w:szCs w:val="18"/>
                      </w:rPr>
                      <m:t>i,t</m:t>
                    </m:r>
                  </m:sub>
                </m:sSub>
                <m:r>
                  <w:rPr>
                    <w:rFonts w:ascii="Cambria Math" w:hAnsi="Cambria Math"/>
                    <w:szCs w:val="18"/>
                  </w:rPr>
                  <m:t>=a+b∙</m:t>
                </m:r>
                <m:sSub>
                  <m:sSubPr>
                    <m:ctrlPr>
                      <w:rPr>
                        <w:rFonts w:ascii="Cambria Math" w:hAnsi="Cambria Math"/>
                        <w:i/>
                        <w:szCs w:val="18"/>
                      </w:rPr>
                    </m:ctrlPr>
                  </m:sSubPr>
                  <m:e>
                    <m:r>
                      <w:rPr>
                        <w:rFonts w:ascii="Cambria Math" w:hAnsi="Cambria Math"/>
                        <w:szCs w:val="18"/>
                      </w:rPr>
                      <m:t>Treat</m:t>
                    </m:r>
                    <m:r>
                      <w:rPr>
                        <w:rFonts w:ascii="Cambria Math" w:hAnsi="Cambria Math"/>
                        <w:szCs w:val="18"/>
                      </w:rPr>
                      <m:t>ment</m:t>
                    </m:r>
                  </m:e>
                  <m:sub>
                    <m:r>
                      <w:rPr>
                        <w:rFonts w:ascii="Cambria Math" w:hAnsi="Cambria Math"/>
                        <w:szCs w:val="18"/>
                      </w:rPr>
                      <m:t>i</m:t>
                    </m:r>
                  </m:sub>
                </m:sSub>
                <m:r>
                  <w:rPr>
                    <w:rFonts w:ascii="Cambria Math" w:hAnsi="Cambria Math"/>
                    <w:szCs w:val="18"/>
                  </w:rPr>
                  <m:t>+c∙</m:t>
                </m:r>
                <m:sSub>
                  <m:sSubPr>
                    <m:ctrlPr>
                      <w:rPr>
                        <w:rFonts w:ascii="Cambria Math" w:hAnsi="Cambria Math"/>
                        <w:i/>
                        <w:szCs w:val="18"/>
                      </w:rPr>
                    </m:ctrlPr>
                  </m:sSubPr>
                  <m:e>
                    <m:r>
                      <w:rPr>
                        <w:rFonts w:ascii="Cambria Math" w:hAnsi="Cambria Math"/>
                        <w:szCs w:val="18"/>
                      </w:rPr>
                      <m:t>Event</m:t>
                    </m:r>
                  </m:e>
                  <m:sub>
                    <m:r>
                      <w:rPr>
                        <w:rFonts w:ascii="Cambria Math" w:hAnsi="Cambria Math"/>
                        <w:szCs w:val="18"/>
                      </w:rPr>
                      <m:t>t</m:t>
                    </m:r>
                  </m:sub>
                </m:sSub>
                <m:r>
                  <w:rPr>
                    <w:rFonts w:ascii="Cambria Math" w:hAnsi="Cambria Math"/>
                    <w:szCs w:val="18"/>
                  </w:rPr>
                  <m:t>+d∙</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Treatment</m:t>
                        </m:r>
                      </m:e>
                      <m:sub>
                        <m:r>
                          <w:rPr>
                            <w:rFonts w:ascii="Cambria Math" w:hAnsi="Cambria Math"/>
                            <w:szCs w:val="18"/>
                          </w:rPr>
                          <m:t>i</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Event</m:t>
                        </m:r>
                      </m:e>
                      <m:sub>
                        <m:r>
                          <w:rPr>
                            <w:rFonts w:ascii="Cambria Math" w:hAnsi="Cambria Math"/>
                            <w:szCs w:val="18"/>
                          </w:rPr>
                          <m:t>t</m:t>
                        </m:r>
                      </m:sub>
                    </m:sSub>
                  </m:e>
                </m:d>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u</m:t>
                    </m:r>
                  </m:e>
                  <m:sub>
                    <m:r>
                      <w:rPr>
                        <w:rFonts w:ascii="Cambria Math" w:hAnsi="Cambria Math"/>
                        <w:szCs w:val="18"/>
                      </w:rPr>
                      <m:t>t</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v</m:t>
                    </m:r>
                  </m:e>
                  <m:sub>
                    <m:r>
                      <w:rPr>
                        <w:rFonts w:ascii="Cambria Math" w:hAnsi="Cambria Math"/>
                        <w:szCs w:val="18"/>
                      </w:rPr>
                      <m:t>i</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ε</m:t>
                    </m:r>
                  </m:e>
                  <m:sub>
                    <m:r>
                      <w:rPr>
                        <w:rFonts w:ascii="Cambria Math" w:hAnsi="Cambria Math"/>
                        <w:szCs w:val="18"/>
                      </w:rPr>
                      <m:t>i,t</m:t>
                    </m:r>
                  </m:sub>
                </m:sSub>
                <m:r>
                  <w:rPr>
                    <w:rFonts w:ascii="Cambria Math" w:hAnsi="Cambria Math"/>
                    <w:szCs w:val="18"/>
                  </w:rPr>
                  <m:t xml:space="preserve"> </m:t>
                </m:r>
                <m:r>
                  <m:rPr>
                    <m:sty m:val="p"/>
                  </m:rPr>
                  <w:rPr>
                    <w:rFonts w:ascii="Cambria Math" w:hAnsi="Cambria Math"/>
                    <w:szCs w:val="18"/>
                  </w:rPr>
                  <m:t xml:space="preserve">for </m:t>
                </m:r>
                <m:r>
                  <w:rPr>
                    <w:rFonts w:ascii="Cambria Math" w:hAnsi="Cambria Math"/>
                    <w:szCs w:val="18"/>
                  </w:rPr>
                  <m:t xml:space="preserve">i ∈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xml:space="preserve"> </m:t>
                </m:r>
                <m:r>
                  <m:rPr>
                    <m:sty m:val="p"/>
                  </m:rPr>
                  <w:rPr>
                    <w:rFonts w:ascii="Cambria Math" w:hAnsi="Cambria Math"/>
                    <w:szCs w:val="18"/>
                  </w:rPr>
                  <m:t xml:space="preserve">and </m:t>
                </m:r>
                <m:r>
                  <w:rPr>
                    <w:rFonts w:ascii="Cambria Math" w:hAnsi="Cambria Math"/>
                    <w:szCs w:val="18"/>
                  </w:rPr>
                  <m:t xml:space="preserve">t ∈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t</m:t>
                        </m:r>
                      </m:sub>
                    </m:sSub>
                  </m:e>
                </m:d>
              </m:oMath>
            </m:oMathPara>
          </w:p>
        </w:tc>
      </w:tr>
      <w:tr w:rsidR="006A7080" w:rsidTr="003B398F">
        <w:trPr>
          <w:trHeight w:val="432"/>
        </w:trPr>
        <w:tc>
          <w:tcPr>
            <w:tcW w:w="1728" w:type="dxa"/>
            <w:tcMar>
              <w:top w:w="144" w:type="dxa"/>
              <w:left w:w="115" w:type="dxa"/>
              <w:bottom w:w="144" w:type="dxa"/>
              <w:right w:w="115" w:type="dxa"/>
            </w:tcMar>
            <w:vAlign w:val="center"/>
          </w:tcPr>
          <w:p w:rsidR="006A7080" w:rsidRDefault="006A7080" w:rsidP="003B398F">
            <w:pPr>
              <w:pStyle w:val="BodyParagraph"/>
              <w:spacing w:after="0"/>
              <w:jc w:val="center"/>
            </w:pPr>
            <w:r>
              <w:t>Individual Event Equation:</w:t>
            </w:r>
          </w:p>
        </w:tc>
        <w:tc>
          <w:tcPr>
            <w:tcW w:w="7848" w:type="dxa"/>
            <w:tcMar>
              <w:top w:w="144" w:type="dxa"/>
              <w:left w:w="115" w:type="dxa"/>
              <w:bottom w:w="144" w:type="dxa"/>
              <w:right w:w="115" w:type="dxa"/>
            </w:tcMar>
            <w:vAlign w:val="center"/>
          </w:tcPr>
          <w:p w:rsidR="006A7080" w:rsidRPr="00BA1B39" w:rsidRDefault="001E777E" w:rsidP="003B398F">
            <w:pPr>
              <w:pStyle w:val="BodyParagraph"/>
              <w:spacing w:after="0"/>
              <w:jc w:val="both"/>
              <w:rPr>
                <w:szCs w:val="18"/>
              </w:rPr>
            </w:pPr>
            <m:oMathPara>
              <m:oMathParaPr>
                <m:jc m:val="left"/>
              </m:oMathParaPr>
              <m:oMath>
                <m:sSub>
                  <m:sSubPr>
                    <m:ctrlPr>
                      <w:rPr>
                        <w:rFonts w:ascii="Cambria Math" w:hAnsi="Cambria Math"/>
                        <w:i/>
                        <w:szCs w:val="18"/>
                      </w:rPr>
                    </m:ctrlPr>
                  </m:sSubPr>
                  <m:e>
                    <m:r>
                      <w:rPr>
                        <w:rFonts w:ascii="Cambria Math" w:hAnsi="Cambria Math"/>
                        <w:szCs w:val="18"/>
                      </w:rPr>
                      <m:t>kW</m:t>
                    </m:r>
                  </m:e>
                  <m:sub>
                    <m:r>
                      <w:rPr>
                        <w:rFonts w:ascii="Cambria Math" w:hAnsi="Cambria Math"/>
                        <w:szCs w:val="18"/>
                      </w:rPr>
                      <m:t>i,t</m:t>
                    </m:r>
                  </m:sub>
                </m:sSub>
                <m:r>
                  <w:rPr>
                    <w:rFonts w:ascii="Cambria Math" w:hAnsi="Cambria Math"/>
                    <w:szCs w:val="18"/>
                  </w:rPr>
                  <m:t>=a+b∙</m:t>
                </m:r>
                <m:sSub>
                  <m:sSubPr>
                    <m:ctrlPr>
                      <w:rPr>
                        <w:rFonts w:ascii="Cambria Math" w:hAnsi="Cambria Math"/>
                        <w:i/>
                        <w:szCs w:val="18"/>
                      </w:rPr>
                    </m:ctrlPr>
                  </m:sSubPr>
                  <m:e>
                    <m:r>
                      <w:rPr>
                        <w:rFonts w:ascii="Cambria Math" w:hAnsi="Cambria Math"/>
                        <w:szCs w:val="18"/>
                      </w:rPr>
                      <m:t>Treatment</m:t>
                    </m:r>
                  </m:e>
                  <m:sub>
                    <m:r>
                      <w:rPr>
                        <w:rFonts w:ascii="Cambria Math" w:hAnsi="Cambria Math"/>
                        <w:szCs w:val="18"/>
                      </w:rPr>
                      <m:t>i</m:t>
                    </m:r>
                  </m:sub>
                </m:sSub>
                <m:r>
                  <w:rPr>
                    <w:rFonts w:ascii="Cambria Math" w:hAnsi="Cambria Math"/>
                    <w:szCs w:val="18"/>
                  </w:rPr>
                  <m:t>+</m:t>
                </m:r>
                <m:nary>
                  <m:naryPr>
                    <m:chr m:val="∑"/>
                    <m:limLoc m:val="undOvr"/>
                    <m:ctrlPr>
                      <w:rPr>
                        <w:rFonts w:ascii="Cambria Math" w:hAnsi="Cambria Math"/>
                        <w:i/>
                        <w:szCs w:val="18"/>
                      </w:rPr>
                    </m:ctrlPr>
                  </m:naryPr>
                  <m:sub>
                    <m:r>
                      <w:rPr>
                        <w:rFonts w:ascii="Cambria Math" w:hAnsi="Cambria Math"/>
                        <w:szCs w:val="18"/>
                      </w:rPr>
                      <m:t>n=1</m:t>
                    </m:r>
                  </m:sub>
                  <m:sup>
                    <m:r>
                      <w:rPr>
                        <w:rFonts w:ascii="Cambria Math" w:hAnsi="Cambria Math"/>
                        <w:szCs w:val="18"/>
                      </w:rPr>
                      <m:t>max</m:t>
                    </m:r>
                  </m:sup>
                  <m:e>
                    <m:sSub>
                      <m:sSubPr>
                        <m:ctrlPr>
                          <w:rPr>
                            <w:rFonts w:ascii="Cambria Math" w:hAnsi="Cambria Math"/>
                            <w:i/>
                            <w:szCs w:val="18"/>
                          </w:rPr>
                        </m:ctrlPr>
                      </m:sSubPr>
                      <m:e>
                        <m:r>
                          <w:rPr>
                            <w:rFonts w:ascii="Cambria Math" w:hAnsi="Cambria Math"/>
                            <w:szCs w:val="18"/>
                          </w:rPr>
                          <m:t>c</m:t>
                        </m:r>
                      </m:e>
                      <m:sub>
                        <m:r>
                          <w:rPr>
                            <w:rFonts w:ascii="Cambria Math" w:hAnsi="Cambria Math"/>
                            <w:szCs w:val="18"/>
                          </w:rPr>
                          <m:t>n</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Event</m:t>
                        </m:r>
                      </m:e>
                      <m:sub>
                        <m:r>
                          <w:rPr>
                            <w:rFonts w:ascii="Cambria Math" w:hAnsi="Cambria Math"/>
                            <w:szCs w:val="18"/>
                          </w:rPr>
                          <m:t>n</m:t>
                        </m:r>
                      </m:sub>
                    </m:sSub>
                  </m:e>
                </m:nary>
                <m:r>
                  <w:rPr>
                    <w:rFonts w:ascii="Cambria Math" w:hAnsi="Cambria Math"/>
                    <w:szCs w:val="18"/>
                  </w:rPr>
                  <m:t>+</m:t>
                </m:r>
                <m:nary>
                  <m:naryPr>
                    <m:chr m:val="∑"/>
                    <m:limLoc m:val="undOvr"/>
                    <m:ctrlPr>
                      <w:rPr>
                        <w:rFonts w:ascii="Cambria Math" w:hAnsi="Cambria Math"/>
                        <w:i/>
                        <w:szCs w:val="18"/>
                      </w:rPr>
                    </m:ctrlPr>
                  </m:naryPr>
                  <m:sub>
                    <m:r>
                      <w:rPr>
                        <w:rFonts w:ascii="Cambria Math" w:hAnsi="Cambria Math"/>
                        <w:szCs w:val="18"/>
                      </w:rPr>
                      <m:t>n=1</m:t>
                    </m:r>
                  </m:sub>
                  <m:sup>
                    <m:r>
                      <w:rPr>
                        <w:rFonts w:ascii="Cambria Math" w:hAnsi="Cambria Math"/>
                        <w:szCs w:val="18"/>
                      </w:rPr>
                      <m:t>max</m:t>
                    </m:r>
                  </m:sup>
                  <m:e>
                    <m:sSub>
                      <m:sSubPr>
                        <m:ctrlPr>
                          <w:rPr>
                            <w:rFonts w:ascii="Cambria Math" w:hAnsi="Cambria Math"/>
                            <w:i/>
                            <w:szCs w:val="18"/>
                          </w:rPr>
                        </m:ctrlPr>
                      </m:sSubPr>
                      <m:e>
                        <m:r>
                          <w:rPr>
                            <w:rFonts w:ascii="Cambria Math" w:hAnsi="Cambria Math"/>
                            <w:szCs w:val="18"/>
                          </w:rPr>
                          <m:t>d</m:t>
                        </m:r>
                      </m:e>
                      <m:sub>
                        <m:r>
                          <w:rPr>
                            <w:rFonts w:ascii="Cambria Math" w:hAnsi="Cambria Math"/>
                            <w:szCs w:val="18"/>
                          </w:rPr>
                          <m:t>n</m:t>
                        </m:r>
                      </m:sub>
                    </m:sSub>
                    <m:r>
                      <w:rPr>
                        <w:rFonts w:ascii="Cambria Math" w:hAnsi="Cambria Math"/>
                        <w:szCs w:val="18"/>
                      </w:rPr>
                      <m:t>∙</m:t>
                    </m:r>
                    <m:d>
                      <m:dPr>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Treatment</m:t>
                            </m:r>
                          </m:e>
                          <m:sub>
                            <m:r>
                              <w:rPr>
                                <w:rFonts w:ascii="Cambria Math" w:hAnsi="Cambria Math"/>
                                <w:szCs w:val="18"/>
                              </w:rPr>
                              <m:t>i</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Event</m:t>
                            </m:r>
                          </m:e>
                          <m:sub>
                            <m:r>
                              <w:rPr>
                                <w:rFonts w:ascii="Cambria Math" w:hAnsi="Cambria Math"/>
                                <w:szCs w:val="18"/>
                              </w:rPr>
                              <m:t>n</m:t>
                            </m:r>
                          </m:sub>
                        </m:sSub>
                      </m:e>
                    </m:d>
                  </m:e>
                </m:nary>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u</m:t>
                    </m:r>
                  </m:e>
                  <m:sub>
                    <m:r>
                      <w:rPr>
                        <w:rFonts w:ascii="Cambria Math" w:hAnsi="Cambria Math"/>
                        <w:szCs w:val="18"/>
                      </w:rPr>
                      <m:t>t</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v</m:t>
                    </m:r>
                  </m:e>
                  <m:sub>
                    <m:r>
                      <w:rPr>
                        <w:rFonts w:ascii="Cambria Math" w:hAnsi="Cambria Math"/>
                        <w:szCs w:val="18"/>
                      </w:rPr>
                      <m:t>i</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ε</m:t>
                    </m:r>
                  </m:e>
                  <m:sub>
                    <m:r>
                      <w:rPr>
                        <w:rFonts w:ascii="Cambria Math" w:hAnsi="Cambria Math"/>
                        <w:szCs w:val="18"/>
                      </w:rPr>
                      <m:t>i,t</m:t>
                    </m:r>
                  </m:sub>
                </m:sSub>
                <m:r>
                  <m:rPr>
                    <m:sty m:val="p"/>
                  </m:rPr>
                  <w:rPr>
                    <w:rFonts w:ascii="Cambria Math" w:hAnsi="Cambria Math"/>
                    <w:szCs w:val="18"/>
                  </w:rPr>
                  <m:t xml:space="preserve"> for </m:t>
                </m:r>
                <m:r>
                  <w:rPr>
                    <w:rFonts w:ascii="Cambria Math" w:hAnsi="Cambria Math"/>
                    <w:szCs w:val="18"/>
                  </w:rPr>
                  <m:t xml:space="preserve">i ∈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xml:space="preserve"> </m:t>
                </m:r>
                <m:r>
                  <m:rPr>
                    <m:sty m:val="p"/>
                  </m:rPr>
                  <w:rPr>
                    <w:rFonts w:ascii="Cambria Math" w:hAnsi="Cambria Math"/>
                    <w:szCs w:val="18"/>
                  </w:rPr>
                  <m:t xml:space="preserve">and </m:t>
                </m:r>
                <m:r>
                  <w:rPr>
                    <w:rFonts w:ascii="Cambria Math" w:hAnsi="Cambria Math"/>
                    <w:szCs w:val="18"/>
                  </w:rPr>
                  <m:t xml:space="preserve">t ∈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t</m:t>
                        </m:r>
                      </m:sub>
                    </m:sSub>
                  </m:e>
                </m:d>
              </m:oMath>
            </m:oMathPara>
          </w:p>
        </w:tc>
      </w:tr>
    </w:tbl>
    <w:tbl>
      <w:tblPr>
        <w:tblStyle w:val="TableGrid"/>
        <w:tblpPr w:leftFromText="180" w:rightFromText="180" w:vertAnchor="text" w:horzAnchor="margin" w:tblpXSpec="right" w:tblpY="2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5"/>
        <w:gridCol w:w="8159"/>
      </w:tblGrid>
      <w:tr w:rsidR="006A7080" w:rsidRPr="00B95AB2" w:rsidTr="00022617">
        <w:trPr>
          <w:trHeight w:val="302"/>
        </w:trPr>
        <w:tc>
          <w:tcPr>
            <w:tcW w:w="1039" w:type="dxa"/>
            <w:tcBorders>
              <w:right w:val="single" w:sz="4" w:space="0" w:color="FFFFFF" w:themeColor="background1"/>
            </w:tcBorders>
            <w:shd w:val="clear" w:color="auto" w:fill="0070CD"/>
          </w:tcPr>
          <w:p w:rsidR="006A7080" w:rsidRPr="0047139E" w:rsidRDefault="006A7080" w:rsidP="003B398F">
            <w:pPr>
              <w:pStyle w:val="TableHeader"/>
            </w:pPr>
            <w:r w:rsidRPr="0047139E">
              <w:t>Variable</w:t>
            </w:r>
          </w:p>
        </w:tc>
        <w:tc>
          <w:tcPr>
            <w:tcW w:w="8159" w:type="dxa"/>
            <w:tcBorders>
              <w:left w:val="single" w:sz="4" w:space="0" w:color="FFFFFF" w:themeColor="background1"/>
            </w:tcBorders>
            <w:shd w:val="clear" w:color="auto" w:fill="0070CD"/>
          </w:tcPr>
          <w:p w:rsidR="006A7080" w:rsidRPr="0047139E" w:rsidRDefault="006A7080" w:rsidP="003B398F">
            <w:pPr>
              <w:pStyle w:val="TableHeader"/>
            </w:pPr>
            <w:r w:rsidRPr="0047139E">
              <w:t>Definition</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proofErr w:type="spellStart"/>
            <w:r w:rsidRPr="004A7CF8">
              <w:rPr>
                <w:rFonts w:ascii="Cambria Math" w:hAnsi="Cambria Math" w:cs="Times New Roman"/>
                <w:i/>
                <w:szCs w:val="18"/>
              </w:rPr>
              <w:t>i</w:t>
            </w:r>
            <w:proofErr w:type="spellEnd"/>
            <w:r w:rsidRPr="004A7CF8">
              <w:rPr>
                <w:rFonts w:ascii="Cambria Math" w:hAnsi="Cambria Math" w:cs="Times New Roman"/>
                <w:i/>
                <w:szCs w:val="18"/>
              </w:rPr>
              <w:t>, t, n</w:t>
            </w:r>
          </w:p>
        </w:tc>
        <w:tc>
          <w:tcPr>
            <w:tcW w:w="8159" w:type="dxa"/>
            <w:vAlign w:val="center"/>
          </w:tcPr>
          <w:p w:rsidR="006A7080" w:rsidRPr="0047139E" w:rsidRDefault="006A7080" w:rsidP="003B398F">
            <w:pPr>
              <w:pStyle w:val="TableText"/>
              <w:jc w:val="left"/>
            </w:pPr>
            <w:r w:rsidRPr="0047139E">
              <w:t>Indicate obse</w:t>
            </w:r>
            <w:r>
              <w:t xml:space="preserve">rvations for each individual </w:t>
            </w:r>
            <w:proofErr w:type="spellStart"/>
            <w:r w:rsidRPr="005F2A67">
              <w:rPr>
                <w:rFonts w:ascii="Times New Roman" w:hAnsi="Times New Roman" w:cs="Times New Roman"/>
                <w:i/>
              </w:rPr>
              <w:t>i</w:t>
            </w:r>
            <w:proofErr w:type="spellEnd"/>
            <w:r w:rsidRPr="0047139E">
              <w:t xml:space="preserve">, date </w:t>
            </w:r>
            <w:r w:rsidRPr="005F2A67">
              <w:rPr>
                <w:rFonts w:ascii="Times New Roman" w:hAnsi="Times New Roman" w:cs="Times New Roman"/>
                <w:i/>
              </w:rPr>
              <w:t>t</w:t>
            </w:r>
            <w:r w:rsidRPr="0047139E">
              <w:t xml:space="preserve"> and event number</w:t>
            </w:r>
            <w:r>
              <w:t xml:space="preserve"> </w:t>
            </w:r>
            <w:r w:rsidRPr="005F2A67">
              <w:rPr>
                <w:rFonts w:ascii="Times New Roman" w:hAnsi="Times New Roman" w:cs="Times New Roman"/>
                <w:i/>
              </w:rPr>
              <w:t>n</w:t>
            </w:r>
            <w:r>
              <w:t xml:space="preserve">, where the number of events varies by utility and is denoted </w:t>
            </w:r>
            <w:r w:rsidRPr="005F2A67">
              <w:rPr>
                <w:rFonts w:ascii="Times New Roman" w:hAnsi="Times New Roman" w:cs="Times New Roman"/>
                <w:i/>
              </w:rPr>
              <w:t>max</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a</w:t>
            </w:r>
          </w:p>
        </w:tc>
        <w:tc>
          <w:tcPr>
            <w:tcW w:w="8159" w:type="dxa"/>
            <w:vAlign w:val="center"/>
          </w:tcPr>
          <w:p w:rsidR="006A7080" w:rsidRPr="0047139E" w:rsidRDefault="006A7080" w:rsidP="003B398F">
            <w:pPr>
              <w:pStyle w:val="TableText"/>
              <w:jc w:val="left"/>
            </w:pPr>
            <w:r>
              <w:t>The model constant</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b</w:t>
            </w:r>
          </w:p>
        </w:tc>
        <w:tc>
          <w:tcPr>
            <w:tcW w:w="8159" w:type="dxa"/>
            <w:vAlign w:val="center"/>
          </w:tcPr>
          <w:p w:rsidR="006A7080" w:rsidRPr="0047139E" w:rsidRDefault="006A7080" w:rsidP="00640521">
            <w:pPr>
              <w:pStyle w:val="TableText"/>
              <w:jc w:val="left"/>
            </w:pPr>
            <w:r w:rsidRPr="0047139E">
              <w:t>Pre-existing difference between treatment</w:t>
            </w:r>
            <w:r>
              <w:t xml:space="preserve"> and control customers</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c</w:t>
            </w:r>
          </w:p>
        </w:tc>
        <w:tc>
          <w:tcPr>
            <w:tcW w:w="8159" w:type="dxa"/>
            <w:vAlign w:val="center"/>
          </w:tcPr>
          <w:p w:rsidR="006A7080" w:rsidRPr="0047139E" w:rsidRDefault="006A7080" w:rsidP="003B398F">
            <w:pPr>
              <w:pStyle w:val="TableText"/>
              <w:jc w:val="left"/>
            </w:pPr>
            <w:r w:rsidRPr="0047139E">
              <w:t>The difference between event and non-event days common to both CPP partici</w:t>
            </w:r>
            <w:r>
              <w:t>pants and control group members</w:t>
            </w:r>
            <w:r w:rsidRPr="00995491">
              <w:rPr>
                <w:rStyle w:val="FootnoteReference"/>
              </w:rPr>
              <w:footnoteReference w:id="33"/>
            </w:r>
          </w:p>
        </w:tc>
      </w:tr>
      <w:tr w:rsidR="006A7080" w:rsidTr="003B398F">
        <w:trPr>
          <w:trHeight w:val="287"/>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d</w:t>
            </w:r>
          </w:p>
        </w:tc>
        <w:tc>
          <w:tcPr>
            <w:tcW w:w="8159" w:type="dxa"/>
            <w:vAlign w:val="center"/>
          </w:tcPr>
          <w:p w:rsidR="006A7080" w:rsidRPr="0047139E" w:rsidRDefault="006A7080" w:rsidP="003F5210">
            <w:pPr>
              <w:pStyle w:val="TableText"/>
              <w:jc w:val="left"/>
            </w:pPr>
            <w:r w:rsidRPr="0047139E">
              <w:t>The net difference between CPP and control group customers during event days–this parameter represents the differen</w:t>
            </w:r>
            <w:r>
              <w:t>ce-in-differences</w:t>
            </w:r>
          </w:p>
        </w:tc>
      </w:tr>
      <w:tr w:rsidR="006A7080" w:rsidTr="003B398F">
        <w:trPr>
          <w:trHeight w:val="603"/>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u</w:t>
            </w:r>
          </w:p>
        </w:tc>
        <w:tc>
          <w:tcPr>
            <w:tcW w:w="8159" w:type="dxa"/>
            <w:vAlign w:val="center"/>
          </w:tcPr>
          <w:p w:rsidR="006A7080" w:rsidRPr="0047139E" w:rsidRDefault="006A7080" w:rsidP="003B398F">
            <w:pPr>
              <w:pStyle w:val="TableText"/>
              <w:jc w:val="left"/>
            </w:pPr>
            <w:r>
              <w:t xml:space="preserve">Time effects for each date that </w:t>
            </w:r>
            <w:r w:rsidRPr="0047139E">
              <w:t>control for unobserved factors that are common to all treatment and control customer</w:t>
            </w:r>
            <w:r>
              <w:t>s but unique to the time period</w:t>
            </w:r>
            <w:r w:rsidRPr="0047139E">
              <w:t xml:space="preserve"> </w:t>
            </w:r>
          </w:p>
        </w:tc>
      </w:tr>
      <w:tr w:rsidR="006A7080" w:rsidTr="003B398F">
        <w:trPr>
          <w:trHeight w:val="603"/>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v</w:t>
            </w:r>
          </w:p>
        </w:tc>
        <w:tc>
          <w:tcPr>
            <w:tcW w:w="8159" w:type="dxa"/>
            <w:vAlign w:val="center"/>
          </w:tcPr>
          <w:p w:rsidR="006A7080" w:rsidRPr="0047139E" w:rsidRDefault="006A7080" w:rsidP="003B398F">
            <w:pPr>
              <w:pStyle w:val="TableText"/>
              <w:jc w:val="left"/>
            </w:pPr>
            <w:r>
              <w:t xml:space="preserve">Customer fixed effects that </w:t>
            </w:r>
            <w:r w:rsidRPr="0047139E">
              <w:t>control for unobserved factors that are time</w:t>
            </w:r>
            <w:r>
              <w:t>-</w:t>
            </w:r>
            <w:r w:rsidRPr="0047139E">
              <w:t>invari</w:t>
            </w:r>
            <w:r>
              <w:t xml:space="preserve">ant and unique to each customer; fixed effects do </w:t>
            </w:r>
            <w:r w:rsidRPr="0047139E">
              <w:t>not control for fixed characteristics such as air conditioning that interact with time varying factors like weather</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Ε</w:t>
            </w:r>
          </w:p>
        </w:tc>
        <w:tc>
          <w:tcPr>
            <w:tcW w:w="8159" w:type="dxa"/>
            <w:vAlign w:val="center"/>
          </w:tcPr>
          <w:p w:rsidR="006A7080" w:rsidRPr="0047139E" w:rsidRDefault="006A7080" w:rsidP="003B398F">
            <w:pPr>
              <w:pStyle w:val="TableText"/>
              <w:jc w:val="left"/>
            </w:pPr>
            <w:r w:rsidRPr="0047139E">
              <w:t>The error for each individual customer and time period</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Treatment</w:t>
            </w:r>
          </w:p>
        </w:tc>
        <w:tc>
          <w:tcPr>
            <w:tcW w:w="8159" w:type="dxa"/>
            <w:vAlign w:val="center"/>
          </w:tcPr>
          <w:p w:rsidR="006A7080" w:rsidRPr="0047139E" w:rsidRDefault="006A7080" w:rsidP="003F5210">
            <w:pPr>
              <w:pStyle w:val="TableText"/>
              <w:jc w:val="left"/>
            </w:pPr>
            <w:r w:rsidRPr="0047139E">
              <w:t>A binary indicator or whether or not the customer is part of the t</w:t>
            </w:r>
            <w:r>
              <w:t>reatment (CPP) or control</w:t>
            </w:r>
            <w:r w:rsidR="002C1988">
              <w:t> </w:t>
            </w:r>
            <w:r>
              <w:t>group</w:t>
            </w:r>
          </w:p>
        </w:tc>
      </w:tr>
      <w:tr w:rsidR="006A7080" w:rsidTr="003B398F">
        <w:trPr>
          <w:trHeight w:val="302"/>
        </w:trPr>
        <w:tc>
          <w:tcPr>
            <w:tcW w:w="1039" w:type="dxa"/>
            <w:vAlign w:val="center"/>
          </w:tcPr>
          <w:p w:rsidR="006A7080" w:rsidRPr="004A7CF8" w:rsidRDefault="006A7080" w:rsidP="003B398F">
            <w:pPr>
              <w:pStyle w:val="BodyParagraph"/>
              <w:spacing w:after="0"/>
              <w:jc w:val="center"/>
              <w:rPr>
                <w:rFonts w:ascii="Cambria Math" w:hAnsi="Cambria Math" w:cs="Times New Roman"/>
                <w:i/>
                <w:szCs w:val="18"/>
              </w:rPr>
            </w:pPr>
            <w:r w:rsidRPr="004A7CF8">
              <w:rPr>
                <w:rFonts w:ascii="Cambria Math" w:hAnsi="Cambria Math" w:cs="Times New Roman"/>
                <w:i/>
                <w:szCs w:val="18"/>
              </w:rPr>
              <w:t>Event</w:t>
            </w:r>
          </w:p>
        </w:tc>
        <w:tc>
          <w:tcPr>
            <w:tcW w:w="8159" w:type="dxa"/>
            <w:vAlign w:val="center"/>
          </w:tcPr>
          <w:p w:rsidR="006A7080" w:rsidRPr="0047139E" w:rsidRDefault="006A7080" w:rsidP="003F5210">
            <w:pPr>
              <w:pStyle w:val="TableText"/>
              <w:jc w:val="left"/>
            </w:pPr>
            <w:r w:rsidRPr="0047139E">
              <w:t>A binary indicator of wheth</w:t>
            </w:r>
            <w:r>
              <w:t>er an event occurred that day–i</w:t>
            </w:r>
            <w:r w:rsidRPr="0047139E">
              <w:t>mpacts are only observed if the customer is on CPP (</w:t>
            </w:r>
            <w:r w:rsidRPr="00995491">
              <w:rPr>
                <w:rFonts w:ascii="Times New Roman" w:hAnsi="Times New Roman" w:cs="Times New Roman"/>
                <w:i/>
              </w:rPr>
              <w:t>Treatment</w:t>
            </w:r>
            <w:r w:rsidRPr="0047139E">
              <w:t xml:space="preserve"> =</w:t>
            </w:r>
            <w:r>
              <w:t xml:space="preserve"> 1) and it was an event day</w:t>
            </w:r>
          </w:p>
        </w:tc>
      </w:tr>
    </w:tbl>
    <w:p w:rsidR="00640521" w:rsidRDefault="00640521" w:rsidP="00640521">
      <w:pPr>
        <w:pStyle w:val="BodyParagraph"/>
      </w:pPr>
      <w:bookmarkStart w:id="279" w:name="_Toc352323671"/>
      <w:bookmarkStart w:id="280" w:name="_Toc412650640"/>
    </w:p>
    <w:p w:rsidR="00640521" w:rsidRDefault="00640521">
      <w:pPr>
        <w:rPr>
          <w:rFonts w:ascii="Arial" w:eastAsia="Times New Roman" w:hAnsi="Arial" w:cs="Times New Roman"/>
          <w:b/>
          <w:color w:val="0070CD"/>
          <w:sz w:val="28"/>
          <w:szCs w:val="28"/>
        </w:rPr>
      </w:pPr>
      <w:r>
        <w:br w:type="page"/>
      </w:r>
    </w:p>
    <w:p w:rsidR="006A7080" w:rsidRDefault="006A7080" w:rsidP="006A7080">
      <w:pPr>
        <w:pStyle w:val="AppendixHeading"/>
      </w:pPr>
      <w:bookmarkStart w:id="281" w:name="_Toc415494820"/>
      <w:r w:rsidRPr="00A61B6E">
        <w:lastRenderedPageBreak/>
        <w:t>Individual</w:t>
      </w:r>
      <w:r>
        <w:t xml:space="preserve"> Customer Regression Models</w:t>
      </w:r>
      <w:bookmarkEnd w:id="279"/>
      <w:bookmarkEnd w:id="280"/>
      <w:bookmarkEnd w:id="281"/>
      <w:r>
        <w:t xml:space="preserve"> </w:t>
      </w:r>
    </w:p>
    <w:p w:rsidR="006A7080" w:rsidRDefault="006A7080" w:rsidP="006A7080">
      <w:pPr>
        <w:pStyle w:val="BodyParagraph"/>
        <w:rPr>
          <w:rFonts w:ascii="Verdana" w:hAnsi="Verdana"/>
          <w:sz w:val="18"/>
        </w:rPr>
      </w:pPr>
      <w:r>
        <w:t>Table D-1 summarizes all individual customer regression specifications and Table D-2 describes each of the regression terms</w:t>
      </w:r>
      <w:proofErr w:type="gramStart"/>
      <w:r>
        <w:t xml:space="preserve">.  </w:t>
      </w:r>
      <w:proofErr w:type="gramEnd"/>
      <w:r>
        <w:t xml:space="preserve">The analysis dataset is at the </w:t>
      </w:r>
      <w:r w:rsidR="009734DD">
        <w:t>individual, hour and</w:t>
      </w:r>
      <w:r>
        <w:t xml:space="preserve"> date</w:t>
      </w:r>
      <w:r w:rsidR="00A86839">
        <w:t> </w:t>
      </w:r>
      <w:r>
        <w:t>level</w:t>
      </w:r>
      <w:r w:rsidR="009734DD">
        <w:t>,</w:t>
      </w:r>
      <w:r>
        <w:t xml:space="preserve"> and each individual has a separate model for every hour</w:t>
      </w:r>
      <w:proofErr w:type="gramStart"/>
      <w:r>
        <w:t>.</w:t>
      </w:r>
      <w:r w:rsidR="00E77ECA">
        <w:t xml:space="preserve">  </w:t>
      </w:r>
      <w:proofErr w:type="gramEnd"/>
      <w:r w:rsidR="00E77ECA">
        <w:t>Based on a simple cross-validation, the best model for each customer was chosen and then applied in ex post analysis.</w:t>
      </w:r>
    </w:p>
    <w:p w:rsidR="006A7080" w:rsidRPr="007E247D" w:rsidRDefault="006A7080" w:rsidP="006A7080">
      <w:pPr>
        <w:pStyle w:val="TableFigureCaption"/>
      </w:pPr>
      <w:r>
        <w:t>Table D</w:t>
      </w:r>
      <w:r w:rsidRPr="007E247D">
        <w:t>-1: Individual Customer Regression Models</w:t>
      </w:r>
    </w:p>
    <w:tbl>
      <w:tblPr>
        <w:tblW w:w="9194" w:type="dxa"/>
        <w:tblInd w:w="94" w:type="dxa"/>
        <w:tblLook w:val="04A0" w:firstRow="1" w:lastRow="0" w:firstColumn="1" w:lastColumn="0" w:noHBand="0" w:noVBand="1"/>
      </w:tblPr>
      <w:tblGrid>
        <w:gridCol w:w="960"/>
        <w:gridCol w:w="8234"/>
      </w:tblGrid>
      <w:tr w:rsidR="006A7080" w:rsidTr="001A7673">
        <w:trPr>
          <w:trHeight w:val="300"/>
        </w:trPr>
        <w:tc>
          <w:tcPr>
            <w:tcW w:w="960"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Default="006A7080" w:rsidP="00E77ECA">
            <w:pPr>
              <w:pStyle w:val="TableHeader"/>
              <w:spacing w:before="60" w:after="60" w:line="276" w:lineRule="auto"/>
            </w:pPr>
            <w:r>
              <w:t>Model #</w:t>
            </w:r>
          </w:p>
        </w:tc>
        <w:tc>
          <w:tcPr>
            <w:tcW w:w="8234" w:type="dxa"/>
            <w:tcBorders>
              <w:top w:val="single" w:sz="4" w:space="0" w:color="auto"/>
              <w:left w:val="nil"/>
              <w:bottom w:val="single" w:sz="4" w:space="0" w:color="auto"/>
              <w:right w:val="single" w:sz="4" w:space="0" w:color="auto"/>
            </w:tcBorders>
            <w:shd w:val="clear" w:color="auto" w:fill="0070CD"/>
            <w:noWrap/>
            <w:vAlign w:val="center"/>
            <w:hideMark/>
          </w:tcPr>
          <w:p w:rsidR="006A7080" w:rsidRDefault="006A7080" w:rsidP="00E77ECA">
            <w:pPr>
              <w:pStyle w:val="TableHeader"/>
              <w:spacing w:before="60" w:after="60" w:line="276" w:lineRule="auto"/>
            </w:pPr>
            <w:r>
              <w:t>Specification</w:t>
            </w:r>
          </w:p>
        </w:tc>
      </w:tr>
      <w:tr w:rsidR="006A7080" w:rsidTr="003B398F">
        <w:trPr>
          <w:trHeight w:val="1034"/>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1</w:t>
            </w:r>
          </w:p>
        </w:tc>
        <w:tc>
          <w:tcPr>
            <w:tcW w:w="8234" w:type="dxa"/>
            <w:tcBorders>
              <w:top w:val="nil"/>
              <w:left w:val="nil"/>
              <w:bottom w:val="single" w:sz="4" w:space="0" w:color="auto"/>
              <w:right w:val="single" w:sz="4" w:space="0" w:color="auto"/>
            </w:tcBorders>
            <w:noWrap/>
            <w:vAlign w:val="center"/>
            <w:hideMark/>
          </w:tcPr>
          <w:p w:rsidR="006A7080" w:rsidRPr="003E3B9F"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ihdj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f</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cddsqr</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g</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2</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ihdj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f</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g</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3</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ihdj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f</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overnightcdh</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g</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4</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ihdj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f</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cdhsqr</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g</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5</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ihdj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d</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6</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c</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cddsqr</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f</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7</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c</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cdd</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f</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8</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c</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overnightcdh</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f</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9</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c</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cdhsqr</m:t>
                      </m:r>
                    </m:e>
                    <m:sub>
                      <m:r>
                        <w:rPr>
                          <w:rFonts w:ascii="Cambria Math" w:hAnsi="Cambria Math"/>
                          <w:szCs w:val="18"/>
                        </w:rPr>
                        <m:t>ihd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f</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ihdl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r w:rsidR="006A7080" w:rsidTr="003B398F">
        <w:trPr>
          <w:trHeight w:val="300"/>
        </w:trPr>
        <w:tc>
          <w:tcPr>
            <w:tcW w:w="960" w:type="dxa"/>
            <w:tcBorders>
              <w:top w:val="nil"/>
              <w:left w:val="single" w:sz="4" w:space="0" w:color="auto"/>
              <w:bottom w:val="single" w:sz="4" w:space="0" w:color="auto"/>
              <w:right w:val="single" w:sz="4" w:space="0" w:color="auto"/>
            </w:tcBorders>
            <w:noWrap/>
            <w:vAlign w:val="center"/>
            <w:hideMark/>
          </w:tcPr>
          <w:p w:rsidR="006A7080" w:rsidRDefault="006A7080" w:rsidP="00E77ECA">
            <w:pPr>
              <w:pStyle w:val="TableText"/>
              <w:spacing w:line="276" w:lineRule="auto"/>
            </w:pPr>
            <w:r>
              <w:t>10</w:t>
            </w:r>
          </w:p>
        </w:tc>
        <w:tc>
          <w:tcPr>
            <w:tcW w:w="8234" w:type="dxa"/>
            <w:tcBorders>
              <w:top w:val="nil"/>
              <w:left w:val="nil"/>
              <w:bottom w:val="single" w:sz="4" w:space="0" w:color="auto"/>
              <w:right w:val="single" w:sz="4" w:space="0" w:color="auto"/>
            </w:tcBorders>
            <w:noWrap/>
            <w:vAlign w:val="center"/>
            <w:hideMark/>
          </w:tcPr>
          <w:p w:rsidR="006A7080" w:rsidRDefault="001E777E" w:rsidP="00E77ECA">
            <w:pPr>
              <w:pStyle w:val="BodyParagraph"/>
              <w:spacing w:before="60" w:after="60"/>
              <w:jc w:val="center"/>
              <w:rPr>
                <w:rFonts w:ascii="Cambria Math" w:hAnsi="Cambria Math"/>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ihd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ih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ihk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ihdk</m:t>
                  </m:r>
                </m:sub>
              </m:sSub>
              <m:sSub>
                <m:sSubPr>
                  <m:ctrlPr>
                    <w:rPr>
                      <w:rFonts w:ascii="Cambria Math" w:hAnsi="Cambria Math"/>
                      <w:szCs w:val="18"/>
                    </w:rPr>
                  </m:ctrlPr>
                </m:sSubPr>
                <m:e>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l</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ihl</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ihl</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ihd</m:t>
                  </m:r>
                </m:sub>
              </m:sSub>
              <m:r>
                <m:rPr>
                  <m:sty m:val="p"/>
                </m:rPr>
                <w:rPr>
                  <w:rFonts w:ascii="Cambria Math" w:hAnsi="Cambria Math"/>
                  <w:szCs w:val="18"/>
                </w:rPr>
                <m:t>,  for</m:t>
              </m:r>
            </m:oMath>
            <w:r w:rsidR="006A7080">
              <w:rPr>
                <w:rFonts w:ascii="Cambria Math" w:hAnsi="Cambria Math"/>
                <w:szCs w:val="18"/>
              </w:rPr>
              <w:t xml:space="preserve"> </w:t>
            </w:r>
            <m:oMath>
              <m:r>
                <w:rPr>
                  <w:rFonts w:ascii="Cambria Math" w:hAnsi="Cambria Math"/>
                  <w:szCs w:val="18"/>
                </w:rPr>
                <m:t xml:space="preserve">i∈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i</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c>
      </w:tr>
    </w:tbl>
    <w:p w:rsidR="006A7080" w:rsidRDefault="006A7080" w:rsidP="00E77ECA">
      <w:pPr>
        <w:pStyle w:val="TableFigureCaption"/>
        <w:spacing w:before="360"/>
      </w:pPr>
      <w:r>
        <w:lastRenderedPageBreak/>
        <w:t xml:space="preserve">Table D-2: Description of </w:t>
      </w:r>
      <w:r w:rsidR="00BB1228">
        <w:t xml:space="preserve">Individual Customer </w:t>
      </w:r>
      <w:r>
        <w:t>Regression Model Variables</w:t>
      </w:r>
    </w:p>
    <w:tbl>
      <w:tblPr>
        <w:tblW w:w="9480" w:type="dxa"/>
        <w:jc w:val="center"/>
        <w:tblLook w:val="04A0" w:firstRow="1" w:lastRow="0" w:firstColumn="1" w:lastColumn="0" w:noHBand="0" w:noVBand="1"/>
      </w:tblPr>
      <w:tblGrid>
        <w:gridCol w:w="2560"/>
        <w:gridCol w:w="6920"/>
      </w:tblGrid>
      <w:tr w:rsidR="006A7080" w:rsidTr="00694927">
        <w:trPr>
          <w:trHeight w:val="300"/>
          <w:tblHeader/>
          <w:jc w:val="center"/>
        </w:trPr>
        <w:tc>
          <w:tcPr>
            <w:tcW w:w="2560"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Default="006A7080" w:rsidP="00E77ECA">
            <w:pPr>
              <w:pStyle w:val="TableHeader"/>
              <w:keepNext/>
              <w:spacing w:line="276" w:lineRule="auto"/>
            </w:pPr>
            <w:r>
              <w:t>Variable</w:t>
            </w:r>
          </w:p>
        </w:tc>
        <w:tc>
          <w:tcPr>
            <w:tcW w:w="6920" w:type="dxa"/>
            <w:tcBorders>
              <w:top w:val="single" w:sz="4" w:space="0" w:color="auto"/>
              <w:left w:val="nil"/>
              <w:bottom w:val="single" w:sz="4" w:space="0" w:color="auto"/>
              <w:right w:val="single" w:sz="4" w:space="0" w:color="auto"/>
            </w:tcBorders>
            <w:shd w:val="clear" w:color="auto" w:fill="0070CD"/>
            <w:noWrap/>
            <w:vAlign w:val="bottom"/>
            <w:hideMark/>
          </w:tcPr>
          <w:p w:rsidR="006A7080" w:rsidRDefault="006A7080" w:rsidP="00E77ECA">
            <w:pPr>
              <w:pStyle w:val="TableHeader"/>
              <w:keepNext/>
              <w:spacing w:line="276" w:lineRule="auto"/>
            </w:pPr>
            <w:r>
              <w:t>Description</w:t>
            </w:r>
          </w:p>
        </w:tc>
      </w:tr>
      <w:tr w:rsidR="006A7080" w:rsidTr="00694927">
        <w:trPr>
          <w:trHeight w:val="300"/>
          <w:jc w:val="center"/>
        </w:trPr>
        <w:tc>
          <w:tcPr>
            <w:tcW w:w="2560" w:type="dxa"/>
            <w:tcBorders>
              <w:top w:val="nil"/>
              <w:left w:val="single" w:sz="4" w:space="0" w:color="auto"/>
              <w:bottom w:val="single" w:sz="4" w:space="0" w:color="auto"/>
              <w:right w:val="single" w:sz="4" w:space="0" w:color="auto"/>
            </w:tcBorders>
            <w:noWrap/>
            <w:vAlign w:val="center"/>
          </w:tcPr>
          <w:p w:rsidR="006A7080" w:rsidRPr="004A7CF8" w:rsidRDefault="006A7080" w:rsidP="003B398F">
            <w:pPr>
              <w:pStyle w:val="TableText"/>
              <w:spacing w:line="276" w:lineRule="auto"/>
              <w:rPr>
                <w:rFonts w:ascii="Cambria Math" w:hAnsi="Cambria Math" w:cs="Times New Roman"/>
                <w:i/>
                <w:sz w:val="22"/>
              </w:rPr>
            </w:pPr>
            <w:proofErr w:type="spellStart"/>
            <w:r>
              <w:rPr>
                <w:rFonts w:ascii="Cambria Math" w:hAnsi="Cambria Math" w:cs="Times New Roman"/>
                <w:i/>
                <w:sz w:val="22"/>
              </w:rPr>
              <w:t>i</w:t>
            </w:r>
            <w:proofErr w:type="spellEnd"/>
            <w:r w:rsidRPr="004A7CF8">
              <w:rPr>
                <w:rFonts w:ascii="Cambria Math" w:hAnsi="Cambria Math" w:cs="Times New Roman"/>
                <w:i/>
                <w:sz w:val="22"/>
              </w:rPr>
              <w:t>, h, d</w:t>
            </w:r>
          </w:p>
        </w:tc>
        <w:tc>
          <w:tcPr>
            <w:tcW w:w="6920" w:type="dxa"/>
            <w:tcBorders>
              <w:top w:val="nil"/>
              <w:left w:val="nil"/>
              <w:bottom w:val="single" w:sz="4" w:space="0" w:color="auto"/>
              <w:right w:val="single" w:sz="4" w:space="0" w:color="auto"/>
            </w:tcBorders>
            <w:noWrap/>
            <w:vAlign w:val="center"/>
          </w:tcPr>
          <w:p w:rsidR="006A7080" w:rsidRDefault="006A7080" w:rsidP="003B398F">
            <w:pPr>
              <w:pStyle w:val="TableText"/>
              <w:spacing w:line="276" w:lineRule="auto"/>
              <w:jc w:val="left"/>
            </w:pPr>
            <w:r>
              <w:t>Index for individual customer, index for hour,</w:t>
            </w:r>
            <w:r w:rsidR="00694927">
              <w:t xml:space="preserve"> and</w:t>
            </w:r>
            <w:r>
              <w:t xml:space="preserve"> index for event day</w:t>
            </w:r>
          </w:p>
        </w:tc>
      </w:tr>
      <w:tr w:rsidR="006A7080" w:rsidTr="00694927">
        <w:trPr>
          <w:trHeight w:val="3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r w:rsidRPr="004A7CF8">
              <w:rPr>
                <w:rFonts w:ascii="Cambria Math" w:hAnsi="Cambria Math"/>
                <w:i/>
                <w:sz w:val="22"/>
              </w:rPr>
              <w:t>kW</w:t>
            </w:r>
          </w:p>
        </w:tc>
        <w:tc>
          <w:tcPr>
            <w:tcW w:w="6920" w:type="dxa"/>
            <w:tcBorders>
              <w:top w:val="nil"/>
              <w:left w:val="nil"/>
              <w:bottom w:val="single" w:sz="4" w:space="0" w:color="auto"/>
              <w:right w:val="single" w:sz="4" w:space="0" w:color="auto"/>
            </w:tcBorders>
            <w:noWrap/>
            <w:vAlign w:val="center"/>
            <w:hideMark/>
          </w:tcPr>
          <w:p w:rsidR="006A7080" w:rsidRDefault="006A7080" w:rsidP="003B398F">
            <w:pPr>
              <w:pStyle w:val="TableText"/>
              <w:spacing w:line="276" w:lineRule="auto"/>
              <w:jc w:val="left"/>
              <w:rPr>
                <w:rFonts w:eastAsia="Calibri" w:cs="Times New Roman"/>
              </w:rPr>
            </w:pPr>
            <w:r>
              <w:t>Energy</w:t>
            </w:r>
            <w:r w:rsidR="00694927">
              <w:t xml:space="preserve"> usage in each hourly interval h</w:t>
            </w:r>
            <w:r>
              <w:t>={1,2,3, …, 24} for each date d</w:t>
            </w:r>
          </w:p>
        </w:tc>
      </w:tr>
      <w:tr w:rsidR="006A7080" w:rsidTr="00694927">
        <w:trPr>
          <w:trHeight w:val="3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r w:rsidRPr="004A7CF8">
              <w:rPr>
                <w:rFonts w:ascii="Cambria Math" w:hAnsi="Cambria Math"/>
                <w:i/>
                <w:sz w:val="22"/>
              </w:rPr>
              <w:t>month</w:t>
            </w:r>
          </w:p>
        </w:tc>
        <w:tc>
          <w:tcPr>
            <w:tcW w:w="6920" w:type="dxa"/>
            <w:tcBorders>
              <w:top w:val="nil"/>
              <w:left w:val="nil"/>
              <w:bottom w:val="single" w:sz="4" w:space="0" w:color="auto"/>
              <w:right w:val="single" w:sz="4" w:space="0" w:color="auto"/>
            </w:tcBorders>
            <w:noWrap/>
            <w:vAlign w:val="center"/>
            <w:hideMark/>
          </w:tcPr>
          <w:p w:rsidR="006A7080" w:rsidRDefault="006A7080" w:rsidP="003B398F">
            <w:pPr>
              <w:pStyle w:val="TableText"/>
              <w:spacing w:line="276" w:lineRule="auto"/>
              <w:jc w:val="left"/>
              <w:rPr>
                <w:rFonts w:eastAsia="Calibri" w:cs="Times New Roman"/>
              </w:rPr>
            </w:pPr>
            <w:r>
              <w:t>Binary variable indicating the month of the hourly observation</w:t>
            </w:r>
          </w:p>
        </w:tc>
      </w:tr>
      <w:tr w:rsidR="006A7080" w:rsidTr="00694927">
        <w:trPr>
          <w:trHeight w:val="125"/>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dow</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Binary variable for the day type of the hourly observation</w:t>
            </w:r>
          </w:p>
        </w:tc>
      </w:tr>
      <w:tr w:rsidR="006A7080" w:rsidTr="00694927">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cdh</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F5210">
            <w:pPr>
              <w:pStyle w:val="TableText"/>
              <w:spacing w:line="276" w:lineRule="auto"/>
              <w:jc w:val="left"/>
              <w:rPr>
                <w:rFonts w:eastAsia="Calibri" w:cs="Times New Roman"/>
              </w:rPr>
            </w:pPr>
            <w:r>
              <w:t>Cooling Degree Hour – the max of zero and the hourly temperature value less a base value of 60°F</w:t>
            </w:r>
          </w:p>
        </w:tc>
      </w:tr>
      <w:tr w:rsidR="006A7080" w:rsidTr="00694927">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cdhsqr</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The square of Cooling Degree Hour</w:t>
            </w:r>
          </w:p>
        </w:tc>
      </w:tr>
      <w:tr w:rsidR="006A7080" w:rsidTr="00694927">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cdd</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F5210">
            <w:pPr>
              <w:pStyle w:val="TableText"/>
              <w:spacing w:line="276" w:lineRule="auto"/>
              <w:jc w:val="left"/>
              <w:rPr>
                <w:rFonts w:eastAsia="Calibri" w:cs="Times New Roman"/>
              </w:rPr>
            </w:pPr>
            <w:r>
              <w:t>Cooling Degree Day–the max of zero and the mean temperature of the day of the hourly observation less a base value of 60°F</w:t>
            </w:r>
          </w:p>
        </w:tc>
      </w:tr>
      <w:tr w:rsidR="006A7080" w:rsidTr="00694927">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cddsqr</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The square of Cooling Degree Day</w:t>
            </w:r>
          </w:p>
        </w:tc>
      </w:tr>
      <w:tr w:rsidR="006A7080" w:rsidTr="00694927">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overnightcdh</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F5210">
            <w:pPr>
              <w:pStyle w:val="TableText"/>
              <w:spacing w:line="276" w:lineRule="auto"/>
              <w:jc w:val="left"/>
              <w:rPr>
                <w:rFonts w:eastAsia="Calibri" w:cs="Times New Roman"/>
              </w:rPr>
            </w:pPr>
            <w:r>
              <w:t xml:space="preserve">The average of CDH from </w:t>
            </w:r>
            <w:r w:rsidR="002C1988">
              <w:t>midnight</w:t>
            </w:r>
            <w:r>
              <w:t xml:space="preserve"> through 9 AM</w:t>
            </w:r>
          </w:p>
        </w:tc>
      </w:tr>
      <w:tr w:rsidR="006A7080" w:rsidTr="00694927">
        <w:trPr>
          <w:trHeight w:val="36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eventday</w:t>
            </w:r>
            <w:proofErr w:type="spellEnd"/>
          </w:p>
        </w:tc>
        <w:tc>
          <w:tcPr>
            <w:tcW w:w="692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Binary variables indicating each event day, 1, ..., n, where n varies by IOU</w:t>
            </w:r>
          </w:p>
        </w:tc>
      </w:tr>
    </w:tbl>
    <w:p w:rsidR="006A7080" w:rsidRDefault="006A7080" w:rsidP="006A7080">
      <w:pPr>
        <w:pStyle w:val="BodyParaAfterTableFigure"/>
        <w:rPr>
          <w:sz w:val="20"/>
        </w:rPr>
      </w:pPr>
      <w:r>
        <w:br w:type="page"/>
      </w:r>
    </w:p>
    <w:p w:rsidR="006A7080" w:rsidRDefault="006A7080" w:rsidP="006A7080">
      <w:pPr>
        <w:pStyle w:val="AppendixHeading"/>
      </w:pPr>
      <w:bookmarkStart w:id="282" w:name="_Toc352323674"/>
      <w:bookmarkStart w:id="283" w:name="_Toc412650641"/>
      <w:bookmarkStart w:id="284" w:name="_Toc415494821"/>
      <w:r w:rsidRPr="003E2CDA">
        <w:lastRenderedPageBreak/>
        <w:t xml:space="preserve">Portfolio-adjusted </w:t>
      </w:r>
      <w:r w:rsidR="003C5B4E">
        <w:t xml:space="preserve">Ex Ante </w:t>
      </w:r>
      <w:r w:rsidRPr="003E2CDA">
        <w:t>Load Impacts</w:t>
      </w:r>
      <w:bookmarkEnd w:id="282"/>
      <w:bookmarkEnd w:id="283"/>
      <w:bookmarkEnd w:id="284"/>
    </w:p>
    <w:p w:rsidR="003C5B4E" w:rsidRPr="003C5B4E" w:rsidRDefault="003C5B4E" w:rsidP="003C5B4E">
      <w:pPr>
        <w:pStyle w:val="BodyParagraph"/>
      </w:pPr>
      <w:r>
        <w:t>This section summarizes the portfolio-adjusted ex ante load impact estimates, which reflect the</w:t>
      </w:r>
      <w:r w:rsidR="002C1988">
        <w:t> </w:t>
      </w:r>
      <w:r>
        <w:t>load impacts after accounting for other DR programs that take precedence over CPP in the</w:t>
      </w:r>
      <w:r w:rsidR="002C1988">
        <w:t> </w:t>
      </w:r>
      <w:r>
        <w:t>portfolio analysis</w:t>
      </w:r>
      <w:proofErr w:type="gramStart"/>
      <w:r>
        <w:t xml:space="preserve">. </w:t>
      </w:r>
      <w:r w:rsidR="002C1988">
        <w:t xml:space="preserve"> </w:t>
      </w:r>
      <w:proofErr w:type="gramEnd"/>
      <w:r>
        <w:t>Estimates are provided for the utility specific August System Peak Day. Portfolio estimates for all ex ante weather scenarios from 2015 through 2025 are provided in the electronic appendices.</w:t>
      </w:r>
    </w:p>
    <w:p w:rsidR="006A7080" w:rsidRDefault="006A7080" w:rsidP="006A7080">
      <w:pPr>
        <w:pStyle w:val="TableFigureCaption"/>
        <w:spacing w:before="360"/>
        <w:contextualSpacing/>
      </w:pPr>
      <w:r>
        <w:t>Table E-1: Aggregate Defau</w:t>
      </w:r>
      <w:r w:rsidR="007A1CF2">
        <w:t>lt CPP Ex Ante Load Impact Esti</w:t>
      </w:r>
      <w:r>
        <w:t>m</w:t>
      </w:r>
      <w:r w:rsidR="007A1CF2">
        <w:t>a</w:t>
      </w:r>
      <w:r>
        <w:t>tes by Weather Scenario for Large C&amp;I</w:t>
      </w:r>
      <w:r w:rsidR="003C5B4E">
        <w:t>,</w:t>
      </w:r>
      <w:r>
        <w:t xml:space="preserve"> PG&amp;E August System Peak Day (MW 1</w:t>
      </w:r>
      <w:r w:rsidR="002C1988">
        <w:rPr>
          <w:rFonts w:cs="Arial"/>
        </w:rPr>
        <w:t>–</w:t>
      </w:r>
      <w:r>
        <w:t>6 PM) – Portfolio-adjusted</w:t>
      </w:r>
    </w:p>
    <w:tbl>
      <w:tblPr>
        <w:tblW w:w="10976" w:type="dxa"/>
        <w:jc w:val="center"/>
        <w:tblInd w:w="-643" w:type="dxa"/>
        <w:tblLook w:val="04A0" w:firstRow="1" w:lastRow="0" w:firstColumn="1" w:lastColumn="0" w:noHBand="0" w:noVBand="1"/>
      </w:tblPr>
      <w:tblGrid>
        <w:gridCol w:w="927"/>
        <w:gridCol w:w="927"/>
        <w:gridCol w:w="803"/>
        <w:gridCol w:w="1037"/>
        <w:gridCol w:w="1638"/>
        <w:gridCol w:w="2028"/>
        <w:gridCol w:w="1458"/>
        <w:gridCol w:w="1096"/>
        <w:gridCol w:w="1180"/>
      </w:tblGrid>
      <w:tr w:rsidR="008028DC" w:rsidRPr="002809A0" w:rsidTr="008028DC">
        <w:trPr>
          <w:trHeight w:val="773"/>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Weather Year</w:t>
            </w:r>
          </w:p>
        </w:tc>
        <w:tc>
          <w:tcPr>
            <w:tcW w:w="803"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Enrolled Accounts</w:t>
            </w:r>
          </w:p>
        </w:tc>
        <w:tc>
          <w:tcPr>
            <w:tcW w:w="1638"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Reference Load</w:t>
            </w:r>
          </w:p>
        </w:tc>
        <w:tc>
          <w:tcPr>
            <w:tcW w:w="2028"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Estimated Load w/ DR</w:t>
            </w:r>
          </w:p>
        </w:tc>
        <w:tc>
          <w:tcPr>
            <w:tcW w:w="1458"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Load Impact</w:t>
            </w:r>
          </w:p>
        </w:tc>
        <w:tc>
          <w:tcPr>
            <w:tcW w:w="978"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 Load Reduction</w:t>
            </w:r>
          </w:p>
        </w:tc>
        <w:tc>
          <w:tcPr>
            <w:tcW w:w="1180" w:type="dxa"/>
            <w:tcBorders>
              <w:top w:val="single" w:sz="4" w:space="0" w:color="auto"/>
              <w:left w:val="nil"/>
              <w:bottom w:val="single" w:sz="4" w:space="0" w:color="FFFFFF"/>
              <w:right w:val="single" w:sz="4" w:space="0" w:color="auto"/>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Weighted Temp.</w:t>
            </w:r>
          </w:p>
        </w:tc>
      </w:tr>
      <w:tr w:rsidR="008028DC" w:rsidRPr="002809A0" w:rsidTr="008028DC">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803"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1638" w:type="dxa"/>
            <w:tcBorders>
              <w:top w:val="nil"/>
              <w:left w:val="nil"/>
              <w:bottom w:val="single" w:sz="4" w:space="0" w:color="auto"/>
              <w:right w:val="single" w:sz="4" w:space="0" w:color="FFFFFF"/>
            </w:tcBorders>
            <w:shd w:val="clear" w:color="000000" w:fill="0070D0"/>
            <w:vAlign w:val="center"/>
            <w:hideMark/>
          </w:tcPr>
          <w:p w:rsidR="002809A0" w:rsidRPr="00263CB0" w:rsidRDefault="002809A0"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2028"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458" w:type="dxa"/>
            <w:tcBorders>
              <w:top w:val="nil"/>
              <w:left w:val="nil"/>
              <w:bottom w:val="single" w:sz="4" w:space="0" w:color="auto"/>
              <w:right w:val="single" w:sz="4" w:space="0" w:color="FFFFFF"/>
            </w:tcBorders>
            <w:shd w:val="clear" w:color="000000" w:fill="0070D0"/>
            <w:vAlign w:val="center"/>
            <w:hideMark/>
          </w:tcPr>
          <w:p w:rsidR="002809A0" w:rsidRPr="00263CB0" w:rsidRDefault="002809A0"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978" w:type="dxa"/>
            <w:tcBorders>
              <w:top w:val="nil"/>
              <w:left w:val="nil"/>
              <w:bottom w:val="single" w:sz="4" w:space="0" w:color="auto"/>
              <w:right w:val="single" w:sz="4" w:space="0" w:color="FFFFFF"/>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180" w:type="dxa"/>
            <w:tcBorders>
              <w:top w:val="nil"/>
              <w:left w:val="nil"/>
              <w:bottom w:val="single" w:sz="4" w:space="0" w:color="auto"/>
              <w:right w:val="single" w:sz="4" w:space="0" w:color="auto"/>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263CB0" w:rsidRPr="002809A0" w:rsidTr="008028DC">
        <w:trPr>
          <w:trHeight w:val="30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PG&amp;E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1,927</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645.4</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594.8</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50.5</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95.7</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2,429</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809.3</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744.3</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65.0</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8.0%</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95.9</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2,464</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820.8</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754.7</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66.0</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8.0%</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95.9</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1,927</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618.6</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573.1</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45.6</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7.4%</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92.0</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2,429</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776.2</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717.8</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58.4</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92.4</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2,464</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787.2</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727.9</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59.3</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92.4</w:t>
            </w:r>
          </w:p>
        </w:tc>
      </w:tr>
      <w:tr w:rsidR="00263CB0" w:rsidRPr="002809A0" w:rsidTr="008028DC">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1,927</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626.6</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578.7</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47.9</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7.6%</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92.4</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2,429</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786.3</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724.7</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61.6</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92.8</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2,464</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797.4</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734.9</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62.6</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92.8</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1,927</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591.2</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552.1</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39.2</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6.6%</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89.0</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2,429</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742.1</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692.1</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50.0</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6.7%</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89.3</w:t>
            </w:r>
          </w:p>
        </w:tc>
      </w:tr>
      <w:tr w:rsidR="00263CB0" w:rsidRPr="002809A0" w:rsidTr="008028D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0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2,464</w:t>
            </w:r>
          </w:p>
        </w:tc>
        <w:tc>
          <w:tcPr>
            <w:tcW w:w="163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752.7</w:t>
            </w:r>
          </w:p>
        </w:tc>
        <w:tc>
          <w:tcPr>
            <w:tcW w:w="202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701.9</w:t>
            </w:r>
          </w:p>
        </w:tc>
        <w:tc>
          <w:tcPr>
            <w:tcW w:w="145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50.8</w:t>
            </w:r>
          </w:p>
        </w:tc>
        <w:tc>
          <w:tcPr>
            <w:tcW w:w="97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6.8%</w:t>
            </w:r>
          </w:p>
        </w:tc>
        <w:tc>
          <w:tcPr>
            <w:tcW w:w="118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89.3</w:t>
            </w:r>
          </w:p>
        </w:tc>
      </w:tr>
    </w:tbl>
    <w:p w:rsidR="006A7080" w:rsidRDefault="006A7080" w:rsidP="006A7080">
      <w:pPr>
        <w:pStyle w:val="BodyParaAfterTableFigure"/>
      </w:pPr>
      <w:r>
        <w:br w:type="page"/>
      </w:r>
    </w:p>
    <w:p w:rsidR="006A7080" w:rsidRDefault="006A7080" w:rsidP="006A7080">
      <w:pPr>
        <w:pStyle w:val="TableFigureCaption"/>
        <w:spacing w:before="360"/>
      </w:pPr>
      <w:r>
        <w:lastRenderedPageBreak/>
        <w:t xml:space="preserve">Table E-2: Aggregate Default CPP </w:t>
      </w:r>
      <w:r w:rsidRPr="00D963CC">
        <w:t xml:space="preserve">Ex </w:t>
      </w:r>
      <w:r>
        <w:t>Ante</w:t>
      </w:r>
      <w:r w:rsidRPr="00D963CC">
        <w:t xml:space="preserve"> Load </w:t>
      </w:r>
      <w:r>
        <w:t>Impact Estimates by Weather Scenario for Medium C&amp;I</w:t>
      </w:r>
      <w:r w:rsidR="003C5B4E">
        <w:t xml:space="preserve">, </w:t>
      </w:r>
      <w:r>
        <w:t>PG&amp;E August System Peak Day (1</w:t>
      </w:r>
      <w:r w:rsidR="002C1988">
        <w:rPr>
          <w:rFonts w:cs="Arial"/>
        </w:rPr>
        <w:t>–</w:t>
      </w:r>
      <w:r>
        <w:t>6 PM) – Portfolio-adjusted</w:t>
      </w:r>
    </w:p>
    <w:tbl>
      <w:tblPr>
        <w:tblW w:w="10540" w:type="dxa"/>
        <w:jc w:val="center"/>
        <w:tblInd w:w="93" w:type="dxa"/>
        <w:tblLook w:val="04A0" w:firstRow="1" w:lastRow="0" w:firstColumn="1" w:lastColumn="0" w:noHBand="0" w:noVBand="1"/>
      </w:tblPr>
      <w:tblGrid>
        <w:gridCol w:w="927"/>
        <w:gridCol w:w="927"/>
        <w:gridCol w:w="860"/>
        <w:gridCol w:w="1037"/>
        <w:gridCol w:w="1584"/>
        <w:gridCol w:w="1602"/>
        <w:gridCol w:w="1663"/>
        <w:gridCol w:w="1096"/>
        <w:gridCol w:w="1026"/>
      </w:tblGrid>
      <w:tr w:rsidR="002809A0" w:rsidRPr="002809A0" w:rsidTr="00263CB0">
        <w:trPr>
          <w:trHeight w:val="620"/>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Weather Year</w:t>
            </w:r>
          </w:p>
        </w:tc>
        <w:tc>
          <w:tcPr>
            <w:tcW w:w="86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Enrolled Accounts</w:t>
            </w:r>
          </w:p>
        </w:tc>
        <w:tc>
          <w:tcPr>
            <w:tcW w:w="1584"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Reference Load</w:t>
            </w:r>
          </w:p>
        </w:tc>
        <w:tc>
          <w:tcPr>
            <w:tcW w:w="1602"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Estimated Load w/ DR</w:t>
            </w:r>
          </w:p>
        </w:tc>
        <w:tc>
          <w:tcPr>
            <w:tcW w:w="1663"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Load Impact</w:t>
            </w:r>
          </w:p>
        </w:tc>
        <w:tc>
          <w:tcPr>
            <w:tcW w:w="914"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 Load Reduction</w:t>
            </w:r>
          </w:p>
        </w:tc>
        <w:tc>
          <w:tcPr>
            <w:tcW w:w="1026" w:type="dxa"/>
            <w:tcBorders>
              <w:top w:val="single" w:sz="4" w:space="0" w:color="auto"/>
              <w:left w:val="nil"/>
              <w:bottom w:val="single" w:sz="4" w:space="0" w:color="FFFFFF"/>
              <w:right w:val="single" w:sz="4" w:space="0" w:color="auto"/>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Weighted Temp.</w:t>
            </w:r>
          </w:p>
        </w:tc>
      </w:tr>
      <w:tr w:rsidR="002809A0" w:rsidRPr="002809A0" w:rsidTr="00263CB0">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860"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1584"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602"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663"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914" w:type="dxa"/>
            <w:tcBorders>
              <w:top w:val="nil"/>
              <w:left w:val="nil"/>
              <w:bottom w:val="single" w:sz="4" w:space="0" w:color="auto"/>
              <w:right w:val="single" w:sz="4" w:space="0" w:color="FFFFFF"/>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026" w:type="dxa"/>
            <w:tcBorders>
              <w:top w:val="nil"/>
              <w:left w:val="nil"/>
              <w:bottom w:val="single" w:sz="4" w:space="0" w:color="auto"/>
              <w:right w:val="single" w:sz="4" w:space="0" w:color="auto"/>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2809A0" w:rsidRPr="002809A0" w:rsidTr="00263CB0">
        <w:trPr>
          <w:trHeight w:val="30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PG&amp;E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20,234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549.5</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542.9</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6.5</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97.6</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26,981</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791.3</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781.9</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9.4</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97.0</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37,546</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1181.2</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1167.2</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14.0</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96.6</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39,644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1260.0</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1245.1</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14.9</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96.5</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20,234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513.1</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507.0</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6.1</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93.9</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26,981</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738.2</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729.4</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8.8</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93.4</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37,546</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1100.6</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1087.6</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13.1</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92.8</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39,644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1173.9</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1160.0</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13.9</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92.8</w:t>
            </w:r>
          </w:p>
        </w:tc>
      </w:tr>
      <w:tr w:rsidR="002809A0" w:rsidRPr="002809A0" w:rsidTr="00263CB0">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20,234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527.9</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521.6</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6.3</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94.8</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26,981</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759.3</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750.3</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9.0</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94.1</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37,546</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1131.7</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1118.3</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13.4</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93.5</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39,644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1207.0</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1192.7</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14.3</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93.4</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20,234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471.7</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466.1</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5.6</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90.3</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26,981</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677.8</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669.7</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8.0</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89.8</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37,546</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1009.9</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997.9</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12.0</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89.3</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39,644</w:t>
            </w:r>
          </w:p>
        </w:tc>
        <w:tc>
          <w:tcPr>
            <w:tcW w:w="158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1077.2</w:t>
            </w:r>
          </w:p>
        </w:tc>
        <w:tc>
          <w:tcPr>
            <w:tcW w:w="1602"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1064.5</w:t>
            </w:r>
          </w:p>
        </w:tc>
        <w:tc>
          <w:tcPr>
            <w:tcW w:w="166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12.8</w:t>
            </w:r>
          </w:p>
        </w:tc>
        <w:tc>
          <w:tcPr>
            <w:tcW w:w="914"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89.3</w:t>
            </w:r>
          </w:p>
        </w:tc>
      </w:tr>
    </w:tbl>
    <w:p w:rsidR="006A7080" w:rsidRDefault="006A7080" w:rsidP="006A7080">
      <w:pPr>
        <w:pStyle w:val="TableFigureCaption"/>
        <w:spacing w:before="360"/>
      </w:pPr>
      <w:r>
        <w:t xml:space="preserve">Table E-3: Aggregate Default CPP </w:t>
      </w:r>
      <w:r w:rsidRPr="00D963CC">
        <w:t xml:space="preserve">Ex </w:t>
      </w:r>
      <w:r>
        <w:t>Ante</w:t>
      </w:r>
      <w:r w:rsidRPr="00D963CC">
        <w:t xml:space="preserve"> Load </w:t>
      </w:r>
      <w:r>
        <w:t>Impact Estimates by Weather Scenario for Small C&amp;I</w:t>
      </w:r>
      <w:r w:rsidR="003C5B4E">
        <w:t>,</w:t>
      </w:r>
      <w:r w:rsidR="00022617">
        <w:t xml:space="preserve"> </w:t>
      </w:r>
      <w:r>
        <w:t>PG&amp;E August System Peak Day (1</w:t>
      </w:r>
      <w:r w:rsidR="002C1988">
        <w:rPr>
          <w:rFonts w:cs="Arial"/>
        </w:rPr>
        <w:t>–</w:t>
      </w:r>
      <w:r>
        <w:t>6 PM) – Portfolio-adjusted</w:t>
      </w:r>
    </w:p>
    <w:tbl>
      <w:tblPr>
        <w:tblW w:w="10734" w:type="dxa"/>
        <w:jc w:val="center"/>
        <w:tblInd w:w="93" w:type="dxa"/>
        <w:tblLook w:val="04A0" w:firstRow="1" w:lastRow="0" w:firstColumn="1" w:lastColumn="0" w:noHBand="0" w:noVBand="1"/>
      </w:tblPr>
      <w:tblGrid>
        <w:gridCol w:w="927"/>
        <w:gridCol w:w="927"/>
        <w:gridCol w:w="820"/>
        <w:gridCol w:w="1037"/>
        <w:gridCol w:w="1598"/>
        <w:gridCol w:w="1620"/>
        <w:gridCol w:w="1605"/>
        <w:gridCol w:w="1096"/>
        <w:gridCol w:w="1248"/>
      </w:tblGrid>
      <w:tr w:rsidR="008028DC" w:rsidRPr="002809A0" w:rsidTr="008028DC">
        <w:trPr>
          <w:trHeight w:val="746"/>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bookmarkStart w:id="285" w:name="_Toc412650642"/>
            <w:r w:rsidRPr="002809A0">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Weather Year</w:t>
            </w:r>
          </w:p>
        </w:tc>
        <w:tc>
          <w:tcPr>
            <w:tcW w:w="82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Year</w:t>
            </w:r>
          </w:p>
        </w:tc>
        <w:tc>
          <w:tcPr>
            <w:tcW w:w="893"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Enrolled Accounts</w:t>
            </w:r>
          </w:p>
        </w:tc>
        <w:tc>
          <w:tcPr>
            <w:tcW w:w="1598"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Reference Load</w:t>
            </w:r>
          </w:p>
        </w:tc>
        <w:tc>
          <w:tcPr>
            <w:tcW w:w="1620"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Estimated Load w/ DR</w:t>
            </w:r>
          </w:p>
        </w:tc>
        <w:tc>
          <w:tcPr>
            <w:tcW w:w="1605"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Aggregate Load Impact</w:t>
            </w:r>
          </w:p>
        </w:tc>
        <w:tc>
          <w:tcPr>
            <w:tcW w:w="1096" w:type="dxa"/>
            <w:tcBorders>
              <w:top w:val="single" w:sz="4" w:space="0" w:color="auto"/>
              <w:left w:val="nil"/>
              <w:bottom w:val="single" w:sz="4" w:space="0" w:color="FFFFFF"/>
              <w:right w:val="single" w:sz="4" w:space="0" w:color="FFFFFF"/>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 Load Reduction</w:t>
            </w:r>
          </w:p>
        </w:tc>
        <w:tc>
          <w:tcPr>
            <w:tcW w:w="1248" w:type="dxa"/>
            <w:tcBorders>
              <w:top w:val="single" w:sz="4" w:space="0" w:color="auto"/>
              <w:left w:val="nil"/>
              <w:bottom w:val="single" w:sz="4" w:space="0" w:color="FFFFFF"/>
              <w:right w:val="single" w:sz="4" w:space="0" w:color="auto"/>
            </w:tcBorders>
            <w:shd w:val="clear" w:color="000000" w:fill="0070D0"/>
            <w:vAlign w:val="center"/>
            <w:hideMark/>
          </w:tcPr>
          <w:p w:rsidR="002809A0" w:rsidRPr="002809A0" w:rsidRDefault="002809A0" w:rsidP="002809A0">
            <w:pPr>
              <w:spacing w:after="0" w:line="240" w:lineRule="auto"/>
              <w:jc w:val="center"/>
              <w:rPr>
                <w:rFonts w:ascii="Arial" w:eastAsia="Times New Roman" w:hAnsi="Arial" w:cs="Arial"/>
                <w:b/>
                <w:bCs/>
                <w:color w:val="FFFFFF"/>
                <w:sz w:val="18"/>
                <w:szCs w:val="18"/>
              </w:rPr>
            </w:pPr>
            <w:r w:rsidRPr="002809A0">
              <w:rPr>
                <w:rFonts w:ascii="Arial" w:eastAsia="Times New Roman" w:hAnsi="Arial" w:cs="Arial"/>
                <w:b/>
                <w:bCs/>
                <w:color w:val="FFFFFF"/>
                <w:sz w:val="18"/>
                <w:szCs w:val="18"/>
              </w:rPr>
              <w:t>Weighted Temp.</w:t>
            </w:r>
          </w:p>
        </w:tc>
      </w:tr>
      <w:tr w:rsidR="002809A0" w:rsidRPr="002809A0" w:rsidTr="00263CB0">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820"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893" w:type="dxa"/>
            <w:vMerge/>
            <w:tcBorders>
              <w:top w:val="single" w:sz="4" w:space="0" w:color="auto"/>
              <w:left w:val="single" w:sz="4" w:space="0" w:color="FFFFFF"/>
              <w:bottom w:val="single" w:sz="4" w:space="0" w:color="000000"/>
              <w:right w:val="single" w:sz="4" w:space="0" w:color="FFFFFF"/>
            </w:tcBorders>
            <w:vAlign w:val="center"/>
            <w:hideMark/>
          </w:tcPr>
          <w:p w:rsidR="002809A0" w:rsidRPr="002809A0" w:rsidRDefault="002809A0" w:rsidP="002809A0">
            <w:pPr>
              <w:spacing w:after="0" w:line="240" w:lineRule="auto"/>
              <w:rPr>
                <w:rFonts w:ascii="Arial" w:eastAsia="Times New Roman" w:hAnsi="Arial" w:cs="Arial"/>
                <w:b/>
                <w:bCs/>
                <w:color w:val="FFFFFF"/>
                <w:sz w:val="18"/>
                <w:szCs w:val="18"/>
              </w:rPr>
            </w:pPr>
          </w:p>
        </w:tc>
        <w:tc>
          <w:tcPr>
            <w:tcW w:w="1598"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620"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605" w:type="dxa"/>
            <w:tcBorders>
              <w:top w:val="nil"/>
              <w:left w:val="nil"/>
              <w:bottom w:val="single" w:sz="4" w:space="0" w:color="auto"/>
              <w:right w:val="single" w:sz="4" w:space="0" w:color="FFFFFF"/>
            </w:tcBorders>
            <w:shd w:val="clear" w:color="000000" w:fill="0070D0"/>
            <w:vAlign w:val="center"/>
            <w:hideMark/>
          </w:tcPr>
          <w:p w:rsidR="002809A0" w:rsidRPr="00263CB0" w:rsidRDefault="00263CB0" w:rsidP="002809A0">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002809A0" w:rsidRPr="00263CB0">
              <w:rPr>
                <w:rFonts w:ascii="Arial" w:eastAsia="Times New Roman" w:hAnsi="Arial" w:cs="Arial"/>
                <w:b/>
                <w:color w:val="FFFFFF"/>
                <w:sz w:val="18"/>
                <w:szCs w:val="18"/>
              </w:rPr>
              <w:t>6 PM)</w:t>
            </w:r>
          </w:p>
        </w:tc>
        <w:tc>
          <w:tcPr>
            <w:tcW w:w="1096" w:type="dxa"/>
            <w:tcBorders>
              <w:top w:val="nil"/>
              <w:left w:val="nil"/>
              <w:bottom w:val="single" w:sz="4" w:space="0" w:color="auto"/>
              <w:right w:val="single" w:sz="4" w:space="0" w:color="FFFFFF"/>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248" w:type="dxa"/>
            <w:tcBorders>
              <w:top w:val="nil"/>
              <w:left w:val="nil"/>
              <w:bottom w:val="single" w:sz="4" w:space="0" w:color="auto"/>
              <w:right w:val="single" w:sz="4" w:space="0" w:color="auto"/>
            </w:tcBorders>
            <w:shd w:val="clear" w:color="000000" w:fill="0070D0"/>
            <w:vAlign w:val="center"/>
            <w:hideMark/>
          </w:tcPr>
          <w:p w:rsidR="002809A0" w:rsidRPr="00263CB0" w:rsidRDefault="002809A0" w:rsidP="002809A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2809A0" w:rsidRPr="002809A0" w:rsidTr="00263CB0">
        <w:trPr>
          <w:trHeight w:val="30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PG&amp;E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151,008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472.5</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465.0</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single" w:sz="4" w:space="0" w:color="auto"/>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96.4</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185,917</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588.5</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579.1</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9.4</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203,958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656.1</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645.6</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10.5</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243,249</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797.7</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785.0</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12.7</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95.6</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151,008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431.4</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424.5</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6.9</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92.6</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185,917</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537.5</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528.9</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8.6</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92.0</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203,958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599.1</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589.6</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9.5</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92.0</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243,249</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728.4</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716.8</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11.6</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91.9</w:t>
            </w:r>
          </w:p>
        </w:tc>
      </w:tr>
      <w:tr w:rsidR="002809A0" w:rsidRPr="002809A0" w:rsidTr="00263CB0">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1-in-10</w:t>
            </w: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151,008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446.6</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439.5</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7.1</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93.3</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185,917</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556.3</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547.4</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203,958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620.0</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610.1</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9.9</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243,249</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753.6</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741.6</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12.0</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92.6</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1-in-2</w:t>
            </w: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151,008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387.9</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381.7</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6.2</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89.2</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2016</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185,917</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483.6</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475.9</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7.7</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88.7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2017</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203,958</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539.1</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530.5</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8.6</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88.7</w:t>
            </w:r>
          </w:p>
        </w:tc>
      </w:tr>
      <w:tr w:rsidR="002809A0" w:rsidRPr="002809A0"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2809A0" w:rsidRPr="002809A0" w:rsidRDefault="002809A0" w:rsidP="002809A0">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2025</w:t>
            </w:r>
          </w:p>
        </w:tc>
        <w:tc>
          <w:tcPr>
            <w:tcW w:w="893"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243,249</w:t>
            </w:r>
          </w:p>
        </w:tc>
        <w:tc>
          <w:tcPr>
            <w:tcW w:w="159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655.6</w:t>
            </w:r>
          </w:p>
        </w:tc>
        <w:tc>
          <w:tcPr>
            <w:tcW w:w="1620"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645.1</w:t>
            </w:r>
          </w:p>
        </w:tc>
        <w:tc>
          <w:tcPr>
            <w:tcW w:w="1605"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10.4</w:t>
            </w:r>
          </w:p>
        </w:tc>
        <w:tc>
          <w:tcPr>
            <w:tcW w:w="1096"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1.6%</w:t>
            </w:r>
          </w:p>
        </w:tc>
        <w:tc>
          <w:tcPr>
            <w:tcW w:w="1248" w:type="dxa"/>
            <w:tcBorders>
              <w:top w:val="nil"/>
              <w:left w:val="nil"/>
              <w:bottom w:val="single" w:sz="4" w:space="0" w:color="auto"/>
              <w:right w:val="single" w:sz="4" w:space="0" w:color="auto"/>
            </w:tcBorders>
            <w:shd w:val="clear" w:color="auto" w:fill="auto"/>
            <w:noWrap/>
            <w:vAlign w:val="center"/>
            <w:hideMark/>
          </w:tcPr>
          <w:p w:rsidR="002809A0" w:rsidRPr="002809A0" w:rsidRDefault="002809A0" w:rsidP="002809A0">
            <w:pPr>
              <w:spacing w:after="0" w:line="240" w:lineRule="auto"/>
              <w:jc w:val="center"/>
              <w:rPr>
                <w:rFonts w:ascii="Arial" w:eastAsia="Times New Roman" w:hAnsi="Arial" w:cs="Arial"/>
                <w:color w:val="000000"/>
                <w:sz w:val="18"/>
                <w:szCs w:val="18"/>
              </w:rPr>
            </w:pPr>
            <w:r w:rsidRPr="002809A0">
              <w:rPr>
                <w:rFonts w:ascii="Arial" w:eastAsia="Times New Roman" w:hAnsi="Arial" w:cs="Arial"/>
                <w:color w:val="000000"/>
                <w:sz w:val="18"/>
                <w:szCs w:val="18"/>
              </w:rPr>
              <w:t>88.6</w:t>
            </w:r>
          </w:p>
        </w:tc>
      </w:tr>
    </w:tbl>
    <w:p w:rsidR="003C7ED2" w:rsidRDefault="003C5B4E" w:rsidP="003C5B4E">
      <w:pPr>
        <w:pStyle w:val="TableFigureCaption"/>
        <w:spacing w:before="360"/>
        <w:contextualSpacing/>
      </w:pPr>
      <w:r>
        <w:lastRenderedPageBreak/>
        <w:t>Table E-4: Aggregate Default CPP Ex Ante Load Impact Estimates by Weather Scenario for Large C&amp;I, SCE August System Peak Day (MW 1</w:t>
      </w:r>
      <w:r w:rsidR="002C1988">
        <w:rPr>
          <w:rFonts w:cs="Arial"/>
        </w:rPr>
        <w:t>–</w:t>
      </w:r>
      <w:r>
        <w:t>6 PM) – Portfolio-adjusted</w:t>
      </w:r>
    </w:p>
    <w:tbl>
      <w:tblPr>
        <w:tblW w:w="11752" w:type="dxa"/>
        <w:jc w:val="center"/>
        <w:tblInd w:w="93" w:type="dxa"/>
        <w:tblLook w:val="04A0" w:firstRow="1" w:lastRow="0" w:firstColumn="1" w:lastColumn="0" w:noHBand="0" w:noVBand="1"/>
      </w:tblPr>
      <w:tblGrid>
        <w:gridCol w:w="1006"/>
        <w:gridCol w:w="1006"/>
        <w:gridCol w:w="960"/>
        <w:gridCol w:w="1128"/>
        <w:gridCol w:w="1890"/>
        <w:gridCol w:w="1828"/>
        <w:gridCol w:w="1748"/>
        <w:gridCol w:w="1194"/>
        <w:gridCol w:w="1116"/>
      </w:tblGrid>
      <w:tr w:rsidR="00D53729" w:rsidRPr="00D53729" w:rsidTr="00263CB0">
        <w:trPr>
          <w:trHeight w:val="765"/>
          <w:jc w:val="center"/>
        </w:trPr>
        <w:tc>
          <w:tcPr>
            <w:tcW w:w="1006"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Weather Type</w:t>
            </w:r>
          </w:p>
        </w:tc>
        <w:tc>
          <w:tcPr>
            <w:tcW w:w="1006"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Weather Year</w:t>
            </w:r>
          </w:p>
        </w:tc>
        <w:tc>
          <w:tcPr>
            <w:tcW w:w="96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Year</w:t>
            </w:r>
          </w:p>
        </w:tc>
        <w:tc>
          <w:tcPr>
            <w:tcW w:w="1128"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Enrolled Accounts</w:t>
            </w:r>
          </w:p>
        </w:tc>
        <w:tc>
          <w:tcPr>
            <w:tcW w:w="1890"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Aggregate Reference Load</w:t>
            </w:r>
          </w:p>
        </w:tc>
        <w:tc>
          <w:tcPr>
            <w:tcW w:w="1828"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Aggregate Estimated Load w/ DR</w:t>
            </w:r>
          </w:p>
        </w:tc>
        <w:tc>
          <w:tcPr>
            <w:tcW w:w="1748"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Aggregate Load Impact</w:t>
            </w:r>
          </w:p>
        </w:tc>
        <w:tc>
          <w:tcPr>
            <w:tcW w:w="1070"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 Load Reduction</w:t>
            </w:r>
          </w:p>
        </w:tc>
        <w:tc>
          <w:tcPr>
            <w:tcW w:w="1116" w:type="dxa"/>
            <w:tcBorders>
              <w:top w:val="single" w:sz="4" w:space="0" w:color="auto"/>
              <w:left w:val="nil"/>
              <w:bottom w:val="single" w:sz="4" w:space="0" w:color="FFFFFF"/>
              <w:right w:val="single" w:sz="4" w:space="0" w:color="auto"/>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20"/>
                <w:szCs w:val="20"/>
              </w:rPr>
            </w:pPr>
            <w:r w:rsidRPr="00D53729">
              <w:rPr>
                <w:rFonts w:ascii="Arial" w:eastAsia="Times New Roman" w:hAnsi="Arial" w:cs="Arial"/>
                <w:b/>
                <w:bCs/>
                <w:color w:val="FFFFFF"/>
                <w:sz w:val="20"/>
                <w:szCs w:val="20"/>
              </w:rPr>
              <w:t>Weighted Temp.</w:t>
            </w:r>
          </w:p>
        </w:tc>
      </w:tr>
      <w:tr w:rsidR="00D53729" w:rsidRPr="00D53729" w:rsidTr="00263CB0">
        <w:trPr>
          <w:trHeight w:val="510"/>
          <w:jc w:val="center"/>
        </w:trPr>
        <w:tc>
          <w:tcPr>
            <w:tcW w:w="1006" w:type="dxa"/>
            <w:vMerge/>
            <w:tcBorders>
              <w:top w:val="single" w:sz="4" w:space="0" w:color="auto"/>
              <w:left w:val="single" w:sz="4" w:space="0" w:color="auto"/>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20"/>
                <w:szCs w:val="20"/>
              </w:rPr>
            </w:pPr>
          </w:p>
        </w:tc>
        <w:tc>
          <w:tcPr>
            <w:tcW w:w="1006"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20"/>
                <w:szCs w:val="20"/>
              </w:rPr>
            </w:pPr>
          </w:p>
        </w:tc>
        <w:tc>
          <w:tcPr>
            <w:tcW w:w="960"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20"/>
                <w:szCs w:val="20"/>
              </w:rPr>
            </w:pPr>
          </w:p>
        </w:tc>
        <w:tc>
          <w:tcPr>
            <w:tcW w:w="1128"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20"/>
                <w:szCs w:val="20"/>
              </w:rPr>
            </w:pPr>
          </w:p>
        </w:tc>
        <w:tc>
          <w:tcPr>
            <w:tcW w:w="1890"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20"/>
                <w:szCs w:val="20"/>
              </w:rPr>
            </w:pPr>
            <w:r w:rsidRPr="00263CB0">
              <w:rPr>
                <w:rFonts w:ascii="Arial" w:eastAsia="Times New Roman" w:hAnsi="Arial" w:cs="Arial"/>
                <w:b/>
                <w:color w:val="FFFFFF"/>
                <w:sz w:val="20"/>
                <w:szCs w:val="20"/>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20"/>
                <w:szCs w:val="20"/>
              </w:rPr>
              <w:t>6 PM)</w:t>
            </w:r>
          </w:p>
        </w:tc>
        <w:tc>
          <w:tcPr>
            <w:tcW w:w="1828"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20"/>
                <w:szCs w:val="20"/>
              </w:rPr>
            </w:pPr>
            <w:r w:rsidRPr="00263CB0">
              <w:rPr>
                <w:rFonts w:ascii="Arial" w:eastAsia="Times New Roman" w:hAnsi="Arial" w:cs="Arial"/>
                <w:b/>
                <w:color w:val="FFFFFF"/>
                <w:sz w:val="20"/>
                <w:szCs w:val="20"/>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20"/>
                <w:szCs w:val="20"/>
              </w:rPr>
              <w:t>6 PM)</w:t>
            </w:r>
          </w:p>
        </w:tc>
        <w:tc>
          <w:tcPr>
            <w:tcW w:w="1748"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20"/>
                <w:szCs w:val="20"/>
              </w:rPr>
            </w:pPr>
            <w:r w:rsidRPr="00263CB0">
              <w:rPr>
                <w:rFonts w:ascii="Arial" w:eastAsia="Times New Roman" w:hAnsi="Arial" w:cs="Arial"/>
                <w:b/>
                <w:color w:val="FFFFFF"/>
                <w:sz w:val="20"/>
                <w:szCs w:val="20"/>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20"/>
                <w:szCs w:val="20"/>
              </w:rPr>
              <w:t>6 PM)</w:t>
            </w:r>
          </w:p>
        </w:tc>
        <w:tc>
          <w:tcPr>
            <w:tcW w:w="1070"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20"/>
                <w:szCs w:val="20"/>
              </w:rPr>
            </w:pPr>
            <w:r w:rsidRPr="00263CB0">
              <w:rPr>
                <w:rFonts w:ascii="Arial" w:eastAsia="Times New Roman" w:hAnsi="Arial" w:cs="Arial"/>
                <w:b/>
                <w:color w:val="FFFFFF"/>
                <w:sz w:val="20"/>
                <w:szCs w:val="20"/>
              </w:rPr>
              <w:t>(%)</w:t>
            </w:r>
          </w:p>
        </w:tc>
        <w:tc>
          <w:tcPr>
            <w:tcW w:w="1116" w:type="dxa"/>
            <w:tcBorders>
              <w:top w:val="nil"/>
              <w:left w:val="nil"/>
              <w:bottom w:val="single" w:sz="4" w:space="0" w:color="auto"/>
              <w:right w:val="single" w:sz="4" w:space="0" w:color="auto"/>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20"/>
                <w:szCs w:val="20"/>
              </w:rPr>
            </w:pPr>
            <w:r w:rsidRPr="00263CB0">
              <w:rPr>
                <w:rFonts w:ascii="Arial" w:eastAsia="Times New Roman" w:hAnsi="Arial" w:cs="Arial"/>
                <w:b/>
                <w:color w:val="FFFFFF"/>
                <w:sz w:val="20"/>
                <w:szCs w:val="20"/>
              </w:rPr>
              <w:t>(°F)</w:t>
            </w:r>
          </w:p>
        </w:tc>
      </w:tr>
      <w:tr w:rsidR="00D53729" w:rsidRPr="00D53729" w:rsidTr="00263CB0">
        <w:trPr>
          <w:trHeight w:val="300"/>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PG&amp;E</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3,657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884.4</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868.1</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16.3</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1.8%</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95.6</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3,677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889.2</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872.8</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16.4</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1.8%</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95.6</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4,891</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1182.7</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1161.0</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21.8</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1.8%</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95.6</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1-in-2</w:t>
            </w: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3,657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860.1</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843.1</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17.0</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92.8</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3,677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864.8</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847.7</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17.1</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92.8</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4,891</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1150.3</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1127.5</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22.8</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92.8</w:t>
            </w:r>
          </w:p>
        </w:tc>
      </w:tr>
      <w:tr w:rsidR="00D53729" w:rsidRPr="00D53729" w:rsidTr="00263CB0">
        <w:trPr>
          <w:trHeight w:val="255"/>
          <w:jc w:val="center"/>
        </w:trPr>
        <w:tc>
          <w:tcPr>
            <w:tcW w:w="100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CAISO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3,657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874.8</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858.1</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16.6</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1.9%</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93.9</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3,677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879.5</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862.8</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16.7</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1.9%</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93.9</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4,891</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1169.9</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1147.7</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22.2</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1.9%</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93.9</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1-in-2</w:t>
            </w: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3,657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850.6</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833.2</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17.4</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92.2</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2016</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3,677</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855.2</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837.7</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17.5</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92.2</w:t>
            </w:r>
          </w:p>
        </w:tc>
      </w:tr>
      <w:tr w:rsidR="00D53729" w:rsidRPr="00D53729" w:rsidTr="00263CB0">
        <w:trPr>
          <w:trHeight w:val="255"/>
          <w:jc w:val="center"/>
        </w:trPr>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1006"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2025</w:t>
            </w:r>
          </w:p>
        </w:tc>
        <w:tc>
          <w:tcPr>
            <w:tcW w:w="11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4,891</w:t>
            </w:r>
          </w:p>
        </w:tc>
        <w:tc>
          <w:tcPr>
            <w:tcW w:w="189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1137.5</w:t>
            </w:r>
          </w:p>
        </w:tc>
        <w:tc>
          <w:tcPr>
            <w:tcW w:w="182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1114.3</w:t>
            </w:r>
          </w:p>
        </w:tc>
        <w:tc>
          <w:tcPr>
            <w:tcW w:w="174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23.3</w:t>
            </w:r>
          </w:p>
        </w:tc>
        <w:tc>
          <w:tcPr>
            <w:tcW w:w="107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2.0%</w:t>
            </w:r>
          </w:p>
        </w:tc>
        <w:tc>
          <w:tcPr>
            <w:tcW w:w="111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20"/>
                <w:szCs w:val="20"/>
              </w:rPr>
            </w:pPr>
            <w:r w:rsidRPr="00D53729">
              <w:rPr>
                <w:rFonts w:ascii="Arial" w:eastAsia="Times New Roman" w:hAnsi="Arial" w:cs="Arial"/>
                <w:color w:val="000000"/>
                <w:sz w:val="20"/>
                <w:szCs w:val="20"/>
              </w:rPr>
              <w:t>92.2</w:t>
            </w:r>
          </w:p>
        </w:tc>
      </w:tr>
    </w:tbl>
    <w:p w:rsidR="003C5B4E" w:rsidRPr="003C5B4E" w:rsidRDefault="003C5B4E" w:rsidP="003C5B4E">
      <w:pPr>
        <w:pStyle w:val="BodyParagraph"/>
      </w:pPr>
    </w:p>
    <w:p w:rsidR="00424555" w:rsidRDefault="003C5B4E" w:rsidP="003C5B4E">
      <w:pPr>
        <w:pStyle w:val="TableFigureCaption"/>
        <w:spacing w:before="360"/>
      </w:pPr>
      <w:r>
        <w:t xml:space="preserve">Table E-5: Aggregate Default CPP </w:t>
      </w:r>
      <w:r w:rsidRPr="00D963CC">
        <w:t xml:space="preserve">Ex </w:t>
      </w:r>
      <w:r>
        <w:t>Ante</w:t>
      </w:r>
      <w:r w:rsidRPr="00D963CC">
        <w:t xml:space="preserve"> Load </w:t>
      </w:r>
      <w:r>
        <w:t>Impact Estimates by Weather Scenario for Medium C&amp;I, SCE August System Peak Day (1</w:t>
      </w:r>
      <w:r w:rsidR="002C1988">
        <w:rPr>
          <w:rFonts w:cs="Arial"/>
        </w:rPr>
        <w:t>–</w:t>
      </w:r>
      <w:r>
        <w:t>6 PM) – Portfolio-adjusted</w:t>
      </w:r>
    </w:p>
    <w:tbl>
      <w:tblPr>
        <w:tblW w:w="11450" w:type="dxa"/>
        <w:jc w:val="center"/>
        <w:tblInd w:w="93" w:type="dxa"/>
        <w:tblLook w:val="04A0" w:firstRow="1" w:lastRow="0" w:firstColumn="1" w:lastColumn="0" w:noHBand="0" w:noVBand="1"/>
      </w:tblPr>
      <w:tblGrid>
        <w:gridCol w:w="927"/>
        <w:gridCol w:w="927"/>
        <w:gridCol w:w="860"/>
        <w:gridCol w:w="1140"/>
        <w:gridCol w:w="1961"/>
        <w:gridCol w:w="1710"/>
        <w:gridCol w:w="1803"/>
        <w:gridCol w:w="1096"/>
        <w:gridCol w:w="1026"/>
      </w:tblGrid>
      <w:tr w:rsidR="00D53729" w:rsidRPr="00D53729" w:rsidTr="00263CB0">
        <w:trPr>
          <w:trHeight w:val="720"/>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Weather Year</w:t>
            </w:r>
          </w:p>
        </w:tc>
        <w:tc>
          <w:tcPr>
            <w:tcW w:w="86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Year</w:t>
            </w:r>
          </w:p>
        </w:tc>
        <w:tc>
          <w:tcPr>
            <w:tcW w:w="114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Enrolled Accounts</w:t>
            </w:r>
          </w:p>
        </w:tc>
        <w:tc>
          <w:tcPr>
            <w:tcW w:w="1961"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Reference Load</w:t>
            </w:r>
          </w:p>
        </w:tc>
        <w:tc>
          <w:tcPr>
            <w:tcW w:w="1710"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Estimated Load w/ DR</w:t>
            </w:r>
          </w:p>
        </w:tc>
        <w:tc>
          <w:tcPr>
            <w:tcW w:w="1803"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Load Impact</w:t>
            </w:r>
          </w:p>
        </w:tc>
        <w:tc>
          <w:tcPr>
            <w:tcW w:w="1096"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 Load Reduction</w:t>
            </w:r>
          </w:p>
        </w:tc>
        <w:tc>
          <w:tcPr>
            <w:tcW w:w="1026" w:type="dxa"/>
            <w:tcBorders>
              <w:top w:val="single" w:sz="4" w:space="0" w:color="auto"/>
              <w:left w:val="nil"/>
              <w:bottom w:val="single" w:sz="4" w:space="0" w:color="FFFFFF"/>
              <w:right w:val="single" w:sz="4" w:space="0" w:color="auto"/>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Weighted Temp.</w:t>
            </w:r>
          </w:p>
        </w:tc>
      </w:tr>
      <w:tr w:rsidR="00D53729" w:rsidRPr="00D53729" w:rsidTr="00263CB0">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860"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1140"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1961"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710"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803"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C1988">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096"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026" w:type="dxa"/>
            <w:tcBorders>
              <w:top w:val="nil"/>
              <w:left w:val="nil"/>
              <w:bottom w:val="single" w:sz="4" w:space="0" w:color="auto"/>
              <w:right w:val="single" w:sz="4" w:space="0" w:color="auto"/>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D53729" w:rsidRPr="00D53729" w:rsidTr="00263CB0">
        <w:trPr>
          <w:trHeight w:val="30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SCE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1-in-10</w:t>
            </w: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34,795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1143.3</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1129.7</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13.6</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13,918</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457.3</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451.9</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14,366</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472.0</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466.4</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5.6</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17,375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570.9</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564.1</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6.8</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1-in-2</w:t>
            </w: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34,795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1095.3</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1082.2</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13.0</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13,918</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438.1</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432.9</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5.2</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14,366</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452.2</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446.8</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92.3</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17,375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546.9</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540.4</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6.5</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92.3</w:t>
            </w:r>
          </w:p>
        </w:tc>
      </w:tr>
      <w:tr w:rsidR="00D53729" w:rsidRPr="00D53729" w:rsidTr="00263CB0">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1-in-10</w:t>
            </w: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34,795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1130.5</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1117.0</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13.4</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13,918</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452.2</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446.8</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14,366</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466.7</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461.2</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5.6</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17,375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564.5</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557.8</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6.7</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1-in-2</w:t>
            </w: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34,795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1087.8</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1074.8</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12.9</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13,918</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435.1</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429.9</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5.2</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14,366</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449.1</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443.8</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5.3</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91.7</w:t>
            </w:r>
          </w:p>
        </w:tc>
      </w:tr>
      <w:tr w:rsidR="00D53729" w:rsidRPr="00D53729" w:rsidTr="00263CB0">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14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17,375</w:t>
            </w:r>
          </w:p>
        </w:tc>
        <w:tc>
          <w:tcPr>
            <w:tcW w:w="1961"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543.2</w:t>
            </w:r>
          </w:p>
        </w:tc>
        <w:tc>
          <w:tcPr>
            <w:tcW w:w="171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536.7</w:t>
            </w:r>
          </w:p>
        </w:tc>
        <w:tc>
          <w:tcPr>
            <w:tcW w:w="1803"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6.5</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1.2%</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91.7</w:t>
            </w:r>
          </w:p>
        </w:tc>
      </w:tr>
    </w:tbl>
    <w:p w:rsidR="003C5B4E" w:rsidRPr="003C5B4E" w:rsidRDefault="003C5B4E" w:rsidP="003C5B4E">
      <w:pPr>
        <w:pStyle w:val="BodyParagraph"/>
      </w:pPr>
    </w:p>
    <w:p w:rsidR="00424555" w:rsidRDefault="003C5B4E" w:rsidP="003C5B4E">
      <w:pPr>
        <w:pStyle w:val="TableFigureCaption"/>
        <w:spacing w:before="360"/>
      </w:pPr>
      <w:r>
        <w:lastRenderedPageBreak/>
        <w:t xml:space="preserve">Table E-6: Aggregate Default CPP </w:t>
      </w:r>
      <w:r w:rsidRPr="00D963CC">
        <w:t xml:space="preserve">Ex </w:t>
      </w:r>
      <w:r>
        <w:t>Ante</w:t>
      </w:r>
      <w:r w:rsidRPr="00D963CC">
        <w:t xml:space="preserve"> Load </w:t>
      </w:r>
      <w:r>
        <w:t>Impact Estimates by Weather Scenario for Small C&amp;I, SCE August System Peak Day (1</w:t>
      </w:r>
      <w:r w:rsidR="002C1988">
        <w:rPr>
          <w:rFonts w:cs="Arial"/>
        </w:rPr>
        <w:t>–</w:t>
      </w:r>
      <w:r>
        <w:t>6 PM) – Portfolio-adjusted</w:t>
      </w:r>
    </w:p>
    <w:tbl>
      <w:tblPr>
        <w:tblW w:w="11160" w:type="dxa"/>
        <w:jc w:val="center"/>
        <w:tblInd w:w="93" w:type="dxa"/>
        <w:tblLook w:val="04A0" w:firstRow="1" w:lastRow="0" w:firstColumn="1" w:lastColumn="0" w:noHBand="0" w:noVBand="1"/>
      </w:tblPr>
      <w:tblGrid>
        <w:gridCol w:w="927"/>
        <w:gridCol w:w="927"/>
        <w:gridCol w:w="820"/>
        <w:gridCol w:w="1037"/>
        <w:gridCol w:w="1779"/>
        <w:gridCol w:w="2160"/>
        <w:gridCol w:w="1388"/>
        <w:gridCol w:w="1096"/>
        <w:gridCol w:w="1026"/>
      </w:tblGrid>
      <w:tr w:rsidR="00D53729" w:rsidRPr="00D53729" w:rsidTr="00307F0C">
        <w:trPr>
          <w:trHeight w:val="800"/>
          <w:jc w:val="center"/>
        </w:trPr>
        <w:tc>
          <w:tcPr>
            <w:tcW w:w="927" w:type="dxa"/>
            <w:vMerge w:val="restart"/>
            <w:tcBorders>
              <w:top w:val="single" w:sz="4" w:space="0" w:color="auto"/>
              <w:left w:val="single" w:sz="4" w:space="0" w:color="auto"/>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Weather Year</w:t>
            </w:r>
          </w:p>
        </w:tc>
        <w:tc>
          <w:tcPr>
            <w:tcW w:w="820"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Enrolled Accounts</w:t>
            </w:r>
          </w:p>
        </w:tc>
        <w:tc>
          <w:tcPr>
            <w:tcW w:w="1779"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Reference Load</w:t>
            </w:r>
          </w:p>
        </w:tc>
        <w:tc>
          <w:tcPr>
            <w:tcW w:w="2160"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Estimated Load w/ DR</w:t>
            </w:r>
          </w:p>
        </w:tc>
        <w:tc>
          <w:tcPr>
            <w:tcW w:w="1388"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Aggregate Load Impact</w:t>
            </w:r>
          </w:p>
        </w:tc>
        <w:tc>
          <w:tcPr>
            <w:tcW w:w="1096" w:type="dxa"/>
            <w:tcBorders>
              <w:top w:val="single" w:sz="4" w:space="0" w:color="auto"/>
              <w:left w:val="nil"/>
              <w:bottom w:val="single" w:sz="4" w:space="0" w:color="FFFFFF"/>
              <w:right w:val="single" w:sz="4" w:space="0" w:color="FFFFFF"/>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 Load Reduction</w:t>
            </w:r>
          </w:p>
        </w:tc>
        <w:tc>
          <w:tcPr>
            <w:tcW w:w="1026" w:type="dxa"/>
            <w:tcBorders>
              <w:top w:val="single" w:sz="4" w:space="0" w:color="auto"/>
              <w:left w:val="nil"/>
              <w:bottom w:val="single" w:sz="4" w:space="0" w:color="FFFFFF"/>
              <w:right w:val="single" w:sz="4" w:space="0" w:color="auto"/>
            </w:tcBorders>
            <w:shd w:val="clear" w:color="000000" w:fill="0070D0"/>
            <w:vAlign w:val="center"/>
            <w:hideMark/>
          </w:tcPr>
          <w:p w:rsidR="00D53729" w:rsidRPr="00D53729" w:rsidRDefault="00D53729" w:rsidP="00D53729">
            <w:pPr>
              <w:spacing w:after="0" w:line="240" w:lineRule="auto"/>
              <w:jc w:val="center"/>
              <w:rPr>
                <w:rFonts w:ascii="Arial" w:eastAsia="Times New Roman" w:hAnsi="Arial" w:cs="Arial"/>
                <w:b/>
                <w:bCs/>
                <w:color w:val="FFFFFF"/>
                <w:sz w:val="18"/>
                <w:szCs w:val="18"/>
              </w:rPr>
            </w:pPr>
            <w:r w:rsidRPr="00D53729">
              <w:rPr>
                <w:rFonts w:ascii="Arial" w:eastAsia="Times New Roman" w:hAnsi="Arial" w:cs="Arial"/>
                <w:b/>
                <w:bCs/>
                <w:color w:val="FFFFFF"/>
                <w:sz w:val="18"/>
                <w:szCs w:val="18"/>
              </w:rPr>
              <w:t>Weighted Temp.</w:t>
            </w:r>
          </w:p>
        </w:tc>
      </w:tr>
      <w:tr w:rsidR="00D53729" w:rsidRPr="00D53729" w:rsidTr="00307F0C">
        <w:trPr>
          <w:trHeight w:val="480"/>
          <w:jc w:val="center"/>
        </w:trPr>
        <w:tc>
          <w:tcPr>
            <w:tcW w:w="927" w:type="dxa"/>
            <w:vMerge/>
            <w:tcBorders>
              <w:top w:val="single" w:sz="4" w:space="0" w:color="auto"/>
              <w:left w:val="single" w:sz="4" w:space="0" w:color="auto"/>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820"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D53729" w:rsidRPr="00D53729" w:rsidRDefault="00D53729" w:rsidP="00D53729">
            <w:pPr>
              <w:spacing w:after="0" w:line="240" w:lineRule="auto"/>
              <w:rPr>
                <w:rFonts w:ascii="Arial" w:eastAsia="Times New Roman" w:hAnsi="Arial" w:cs="Arial"/>
                <w:b/>
                <w:bCs/>
                <w:color w:val="FFFFFF"/>
                <w:sz w:val="18"/>
                <w:szCs w:val="18"/>
              </w:rPr>
            </w:pPr>
          </w:p>
        </w:tc>
        <w:tc>
          <w:tcPr>
            <w:tcW w:w="1779" w:type="dxa"/>
            <w:tcBorders>
              <w:top w:val="nil"/>
              <w:left w:val="nil"/>
              <w:bottom w:val="single" w:sz="4" w:space="0" w:color="auto"/>
              <w:right w:val="single" w:sz="4" w:space="0" w:color="FFFFFF"/>
            </w:tcBorders>
            <w:shd w:val="clear" w:color="000000" w:fill="0070D0"/>
            <w:vAlign w:val="center"/>
            <w:hideMark/>
          </w:tcPr>
          <w:p w:rsidR="00D53729" w:rsidRPr="00263CB0" w:rsidRDefault="00263CB0" w:rsidP="00D53729">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00D53729" w:rsidRPr="00263CB0">
              <w:rPr>
                <w:rFonts w:ascii="Arial" w:eastAsia="Times New Roman" w:hAnsi="Arial" w:cs="Arial"/>
                <w:b/>
                <w:color w:val="FFFFFF"/>
                <w:sz w:val="18"/>
                <w:szCs w:val="18"/>
              </w:rPr>
              <w:t>6 PM)</w:t>
            </w:r>
          </w:p>
        </w:tc>
        <w:tc>
          <w:tcPr>
            <w:tcW w:w="2160"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388"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263CB0">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096" w:type="dxa"/>
            <w:tcBorders>
              <w:top w:val="nil"/>
              <w:left w:val="nil"/>
              <w:bottom w:val="single" w:sz="4" w:space="0" w:color="auto"/>
              <w:right w:val="single" w:sz="4" w:space="0" w:color="FFFFFF"/>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026" w:type="dxa"/>
            <w:tcBorders>
              <w:top w:val="nil"/>
              <w:left w:val="nil"/>
              <w:bottom w:val="single" w:sz="4" w:space="0" w:color="auto"/>
              <w:right w:val="single" w:sz="4" w:space="0" w:color="auto"/>
            </w:tcBorders>
            <w:shd w:val="clear" w:color="000000" w:fill="0070D0"/>
            <w:vAlign w:val="center"/>
            <w:hideMark/>
          </w:tcPr>
          <w:p w:rsidR="00D53729" w:rsidRPr="00263CB0" w:rsidRDefault="00D53729" w:rsidP="00D53729">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D53729" w:rsidRPr="00D53729" w:rsidTr="00307F0C">
        <w:trPr>
          <w:trHeight w:val="30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SCE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1-in-10</w:t>
            </w: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215,205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511.6</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503.5</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8.1</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86,082</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204.7</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201.4</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3.2</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88,854</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211.2</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207.9</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3.3</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107,465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255.5</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251.4</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4.0</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95.1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1-in-2</w:t>
            </w: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215,205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482.8</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475.2</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7.6</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86,082</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193.1</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190.1</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3.1</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88,854</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199.3</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196.2</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3.2</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92.1</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107,465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241.1</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237.3</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3.8</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92.1</w:t>
            </w:r>
          </w:p>
        </w:tc>
      </w:tr>
      <w:tr w:rsidR="00D53729" w:rsidRPr="00D53729" w:rsidTr="00307F0C">
        <w:trPr>
          <w:trHeight w:val="240"/>
          <w:jc w:val="center"/>
        </w:trPr>
        <w:tc>
          <w:tcPr>
            <w:tcW w:w="92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1-in-10</w:t>
            </w: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215,205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504.3</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496.3</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8.0</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93.6</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86,082</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198.5</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3.2</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93.6</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88,854</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208.2</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204.9</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3.3</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93.6</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107,465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251.8</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247.9</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4.0</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93.6</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1-in-2</w:t>
            </w: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215,205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478.5</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470.9</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7.6</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91.5</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86,082</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191.4</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188.4</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3.0</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91.5</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2019</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88,854</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197.6</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194.4</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3.1</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91.5</w:t>
            </w:r>
          </w:p>
        </w:tc>
      </w:tr>
      <w:tr w:rsidR="00D53729" w:rsidRPr="00D53729" w:rsidTr="00307F0C">
        <w:trPr>
          <w:trHeight w:val="240"/>
          <w:jc w:val="center"/>
        </w:trPr>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D53729" w:rsidRPr="00D53729" w:rsidRDefault="00D53729" w:rsidP="00D53729">
            <w:pPr>
              <w:spacing w:after="0" w:line="240" w:lineRule="auto"/>
              <w:rPr>
                <w:rFonts w:ascii="Arial" w:eastAsia="Times New Roman" w:hAnsi="Arial" w:cs="Arial"/>
                <w:color w:val="000000"/>
                <w:sz w:val="18"/>
                <w:szCs w:val="18"/>
              </w:rPr>
            </w:pPr>
          </w:p>
        </w:tc>
        <w:tc>
          <w:tcPr>
            <w:tcW w:w="82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107,465</w:t>
            </w:r>
          </w:p>
        </w:tc>
        <w:tc>
          <w:tcPr>
            <w:tcW w:w="1779"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239.0</w:t>
            </w:r>
          </w:p>
        </w:tc>
        <w:tc>
          <w:tcPr>
            <w:tcW w:w="2160"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235.2</w:t>
            </w:r>
          </w:p>
        </w:tc>
        <w:tc>
          <w:tcPr>
            <w:tcW w:w="1388"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3.8</w:t>
            </w:r>
          </w:p>
        </w:tc>
        <w:tc>
          <w:tcPr>
            <w:tcW w:w="109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1.6%</w:t>
            </w:r>
          </w:p>
        </w:tc>
        <w:tc>
          <w:tcPr>
            <w:tcW w:w="1026" w:type="dxa"/>
            <w:tcBorders>
              <w:top w:val="nil"/>
              <w:left w:val="nil"/>
              <w:bottom w:val="single" w:sz="4" w:space="0" w:color="auto"/>
              <w:right w:val="single" w:sz="4" w:space="0" w:color="auto"/>
            </w:tcBorders>
            <w:shd w:val="clear" w:color="auto" w:fill="auto"/>
            <w:noWrap/>
            <w:vAlign w:val="center"/>
            <w:hideMark/>
          </w:tcPr>
          <w:p w:rsidR="00D53729" w:rsidRPr="00D53729" w:rsidRDefault="00D53729" w:rsidP="00D53729">
            <w:pPr>
              <w:spacing w:after="0" w:line="240" w:lineRule="auto"/>
              <w:jc w:val="center"/>
              <w:rPr>
                <w:rFonts w:ascii="Arial" w:eastAsia="Times New Roman" w:hAnsi="Arial" w:cs="Arial"/>
                <w:color w:val="000000"/>
                <w:sz w:val="18"/>
                <w:szCs w:val="18"/>
              </w:rPr>
            </w:pPr>
            <w:r w:rsidRPr="00D53729">
              <w:rPr>
                <w:rFonts w:ascii="Arial" w:eastAsia="Times New Roman" w:hAnsi="Arial" w:cs="Arial"/>
                <w:color w:val="000000"/>
                <w:sz w:val="18"/>
                <w:szCs w:val="18"/>
              </w:rPr>
              <w:t>91.5</w:t>
            </w:r>
          </w:p>
        </w:tc>
      </w:tr>
    </w:tbl>
    <w:p w:rsidR="00CC65EA" w:rsidRDefault="003C5B4E" w:rsidP="00CC65EA">
      <w:pPr>
        <w:pStyle w:val="TableFigureCaption"/>
        <w:spacing w:before="360"/>
        <w:contextualSpacing/>
      </w:pPr>
      <w:r>
        <w:t>Table E-7</w:t>
      </w:r>
      <w:r w:rsidR="00CC65EA">
        <w:t>: Aggregate Default CPP Ex Ante Load Impact Estimates by Weather Scenario for Large C&amp;I</w:t>
      </w:r>
      <w:r>
        <w:t>,</w:t>
      </w:r>
      <w:r w:rsidR="00CC65EA">
        <w:t xml:space="preserve"> SDG&amp;E August System Peak Day (MW 11 AM</w:t>
      </w:r>
      <w:r w:rsidR="00241DC7">
        <w:t xml:space="preserve"> to </w:t>
      </w:r>
      <w:r w:rsidR="00CC65EA">
        <w:t>6 PM) – Portfolio-adjusted</w:t>
      </w:r>
    </w:p>
    <w:tbl>
      <w:tblPr>
        <w:tblW w:w="11017" w:type="dxa"/>
        <w:jc w:val="center"/>
        <w:tblInd w:w="93" w:type="dxa"/>
        <w:tblLook w:val="04A0" w:firstRow="1" w:lastRow="0" w:firstColumn="1" w:lastColumn="0" w:noHBand="0" w:noVBand="1"/>
      </w:tblPr>
      <w:tblGrid>
        <w:gridCol w:w="1000"/>
        <w:gridCol w:w="927"/>
        <w:gridCol w:w="960"/>
        <w:gridCol w:w="1037"/>
        <w:gridCol w:w="1675"/>
        <w:gridCol w:w="2070"/>
        <w:gridCol w:w="1440"/>
        <w:gridCol w:w="1096"/>
        <w:gridCol w:w="1026"/>
      </w:tblGrid>
      <w:tr w:rsidR="00CC65EA" w:rsidRPr="00CC65EA" w:rsidTr="00307F0C">
        <w:trPr>
          <w:trHeight w:val="836"/>
          <w:jc w:val="center"/>
        </w:trPr>
        <w:tc>
          <w:tcPr>
            <w:tcW w:w="1000"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Weather Year</w:t>
            </w:r>
          </w:p>
        </w:tc>
        <w:tc>
          <w:tcPr>
            <w:tcW w:w="960"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Enrolled Accounts</w:t>
            </w:r>
          </w:p>
        </w:tc>
        <w:tc>
          <w:tcPr>
            <w:tcW w:w="1675" w:type="dxa"/>
            <w:tcBorders>
              <w:top w:val="single" w:sz="4" w:space="0" w:color="auto"/>
              <w:left w:val="nil"/>
              <w:bottom w:val="single" w:sz="4" w:space="0" w:color="FFFFFF"/>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Aggregate Reference Load</w:t>
            </w:r>
          </w:p>
        </w:tc>
        <w:tc>
          <w:tcPr>
            <w:tcW w:w="2070" w:type="dxa"/>
            <w:tcBorders>
              <w:top w:val="single" w:sz="4" w:space="0" w:color="auto"/>
              <w:left w:val="nil"/>
              <w:bottom w:val="single" w:sz="4" w:space="0" w:color="FFFFFF"/>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Aggregate Estimated Load w/ DR</w:t>
            </w:r>
          </w:p>
        </w:tc>
        <w:tc>
          <w:tcPr>
            <w:tcW w:w="1440" w:type="dxa"/>
            <w:tcBorders>
              <w:top w:val="single" w:sz="4" w:space="0" w:color="auto"/>
              <w:left w:val="nil"/>
              <w:bottom w:val="single" w:sz="4" w:space="0" w:color="FFFFFF"/>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Aggregate Load Impact</w:t>
            </w:r>
          </w:p>
        </w:tc>
        <w:tc>
          <w:tcPr>
            <w:tcW w:w="882" w:type="dxa"/>
            <w:tcBorders>
              <w:top w:val="single" w:sz="4" w:space="0" w:color="auto"/>
              <w:left w:val="nil"/>
              <w:bottom w:val="single" w:sz="4" w:space="0" w:color="FFFFFF"/>
              <w:right w:val="single" w:sz="4" w:space="0" w:color="FFFFFF"/>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 Load Reduction</w:t>
            </w:r>
          </w:p>
        </w:tc>
        <w:tc>
          <w:tcPr>
            <w:tcW w:w="1026" w:type="dxa"/>
            <w:tcBorders>
              <w:top w:val="single" w:sz="4" w:space="0" w:color="auto"/>
              <w:left w:val="nil"/>
              <w:bottom w:val="single" w:sz="4" w:space="0" w:color="FFFFFF"/>
              <w:right w:val="single" w:sz="4" w:space="0" w:color="auto"/>
            </w:tcBorders>
            <w:shd w:val="clear" w:color="000000" w:fill="0070CD"/>
            <w:vAlign w:val="center"/>
            <w:hideMark/>
          </w:tcPr>
          <w:p w:rsidR="00CC65EA" w:rsidRPr="00CC65EA" w:rsidRDefault="00CC65EA" w:rsidP="00CC65EA">
            <w:pPr>
              <w:spacing w:after="0" w:line="240" w:lineRule="auto"/>
              <w:jc w:val="center"/>
              <w:rPr>
                <w:rFonts w:ascii="Arial" w:eastAsia="Times New Roman" w:hAnsi="Arial" w:cs="Arial"/>
                <w:b/>
                <w:bCs/>
                <w:color w:val="FFFFFF"/>
                <w:sz w:val="18"/>
                <w:szCs w:val="18"/>
              </w:rPr>
            </w:pPr>
            <w:r w:rsidRPr="00CC65EA">
              <w:rPr>
                <w:rFonts w:ascii="Arial" w:eastAsia="Times New Roman" w:hAnsi="Arial" w:cs="Arial"/>
                <w:b/>
                <w:bCs/>
                <w:color w:val="FFFFFF"/>
                <w:sz w:val="18"/>
                <w:szCs w:val="18"/>
              </w:rPr>
              <w:t>Weighted Temp.</w:t>
            </w:r>
          </w:p>
        </w:tc>
      </w:tr>
      <w:tr w:rsidR="00263CB0" w:rsidRPr="00CC65EA" w:rsidTr="00307F0C">
        <w:trPr>
          <w:trHeight w:val="510"/>
          <w:jc w:val="center"/>
        </w:trPr>
        <w:tc>
          <w:tcPr>
            <w:tcW w:w="1000" w:type="dxa"/>
            <w:vMerge/>
            <w:tcBorders>
              <w:top w:val="single" w:sz="4" w:space="0" w:color="auto"/>
              <w:left w:val="single" w:sz="4" w:space="0" w:color="auto"/>
              <w:bottom w:val="single" w:sz="4" w:space="0" w:color="000000"/>
              <w:right w:val="single" w:sz="4" w:space="0" w:color="FFFFFF"/>
            </w:tcBorders>
            <w:vAlign w:val="center"/>
            <w:hideMark/>
          </w:tcPr>
          <w:p w:rsidR="00263CB0" w:rsidRPr="00CC65EA" w:rsidRDefault="00263CB0" w:rsidP="00CC65EA">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263CB0" w:rsidRPr="00CC65EA" w:rsidRDefault="00263CB0" w:rsidP="00CC65EA">
            <w:pPr>
              <w:spacing w:after="0" w:line="240" w:lineRule="auto"/>
              <w:rPr>
                <w:rFonts w:ascii="Arial" w:eastAsia="Times New Roman" w:hAnsi="Arial" w:cs="Arial"/>
                <w:b/>
                <w:bCs/>
                <w:color w:val="FFFFFF"/>
                <w:sz w:val="18"/>
                <w:szCs w:val="18"/>
              </w:rPr>
            </w:pPr>
          </w:p>
        </w:tc>
        <w:tc>
          <w:tcPr>
            <w:tcW w:w="960" w:type="dxa"/>
            <w:vMerge/>
            <w:tcBorders>
              <w:top w:val="single" w:sz="4" w:space="0" w:color="auto"/>
              <w:left w:val="single" w:sz="4" w:space="0" w:color="FFFFFF"/>
              <w:bottom w:val="single" w:sz="4" w:space="0" w:color="000000"/>
              <w:right w:val="single" w:sz="4" w:space="0" w:color="FFFFFF"/>
            </w:tcBorders>
            <w:vAlign w:val="center"/>
            <w:hideMark/>
          </w:tcPr>
          <w:p w:rsidR="00263CB0" w:rsidRPr="00CC65EA" w:rsidRDefault="00263CB0" w:rsidP="00CC65EA">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263CB0" w:rsidRPr="00CC65EA" w:rsidRDefault="00263CB0" w:rsidP="00CC65EA">
            <w:pPr>
              <w:spacing w:after="0" w:line="240" w:lineRule="auto"/>
              <w:rPr>
                <w:rFonts w:ascii="Arial" w:eastAsia="Times New Roman" w:hAnsi="Arial" w:cs="Arial"/>
                <w:b/>
                <w:bCs/>
                <w:color w:val="FFFFFF"/>
                <w:sz w:val="18"/>
                <w:szCs w:val="18"/>
              </w:rPr>
            </w:pPr>
          </w:p>
        </w:tc>
        <w:tc>
          <w:tcPr>
            <w:tcW w:w="1675" w:type="dxa"/>
            <w:tcBorders>
              <w:top w:val="nil"/>
              <w:left w:val="nil"/>
              <w:bottom w:val="single" w:sz="4" w:space="0" w:color="auto"/>
              <w:right w:val="single" w:sz="4" w:space="0" w:color="FFFFFF"/>
            </w:tcBorders>
            <w:shd w:val="clear" w:color="000000" w:fill="0070CD"/>
            <w:vAlign w:val="center"/>
            <w:hideMark/>
          </w:tcPr>
          <w:p w:rsidR="00263CB0" w:rsidRPr="00263CB0" w:rsidRDefault="00263CB0" w:rsidP="000963B2">
            <w:pPr>
              <w:spacing w:after="0" w:line="240" w:lineRule="auto"/>
              <w:jc w:val="center"/>
              <w:rPr>
                <w:rFonts w:ascii="Arial" w:eastAsia="Times New Roman" w:hAnsi="Arial" w:cs="Arial"/>
                <w:b/>
                <w:color w:val="FFFFFF"/>
                <w:sz w:val="18"/>
                <w:szCs w:val="18"/>
              </w:rPr>
            </w:pPr>
            <w:r>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2070" w:type="dxa"/>
            <w:tcBorders>
              <w:top w:val="nil"/>
              <w:left w:val="nil"/>
              <w:bottom w:val="single" w:sz="4" w:space="0" w:color="auto"/>
              <w:right w:val="single" w:sz="4" w:space="0" w:color="FFFFFF"/>
            </w:tcBorders>
            <w:shd w:val="clear" w:color="000000" w:fill="0070CD"/>
            <w:vAlign w:val="center"/>
            <w:hideMark/>
          </w:tcPr>
          <w:p w:rsidR="00263CB0" w:rsidRPr="00263CB0" w:rsidRDefault="00263CB0" w:rsidP="000963B2">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1440" w:type="dxa"/>
            <w:tcBorders>
              <w:top w:val="nil"/>
              <w:left w:val="nil"/>
              <w:bottom w:val="single" w:sz="4" w:space="0" w:color="auto"/>
              <w:right w:val="single" w:sz="4" w:space="0" w:color="FFFFFF"/>
            </w:tcBorders>
            <w:shd w:val="clear" w:color="000000" w:fill="0070CD"/>
            <w:vAlign w:val="center"/>
            <w:hideMark/>
          </w:tcPr>
          <w:p w:rsidR="00263CB0" w:rsidRPr="00263CB0" w:rsidRDefault="00263CB0" w:rsidP="000963B2">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(MW  1</w:t>
            </w:r>
            <w:r w:rsidR="00241DC7">
              <w:rPr>
                <w:rFonts w:ascii="Arial" w:eastAsia="Times New Roman" w:hAnsi="Arial" w:cs="Arial"/>
                <w:b/>
                <w:color w:val="FFFFFF"/>
                <w:sz w:val="18"/>
                <w:szCs w:val="18"/>
              </w:rPr>
              <w:t>–</w:t>
            </w:r>
            <w:r w:rsidRPr="00263CB0">
              <w:rPr>
                <w:rFonts w:ascii="Arial" w:eastAsia="Times New Roman" w:hAnsi="Arial" w:cs="Arial"/>
                <w:b/>
                <w:color w:val="FFFFFF"/>
                <w:sz w:val="18"/>
                <w:szCs w:val="18"/>
              </w:rPr>
              <w:t>6 PM)</w:t>
            </w:r>
          </w:p>
        </w:tc>
        <w:tc>
          <w:tcPr>
            <w:tcW w:w="882" w:type="dxa"/>
            <w:tcBorders>
              <w:top w:val="nil"/>
              <w:left w:val="nil"/>
              <w:bottom w:val="single" w:sz="4" w:space="0" w:color="auto"/>
              <w:right w:val="single" w:sz="4" w:space="0" w:color="FFFFFF"/>
            </w:tcBorders>
            <w:shd w:val="clear" w:color="000000" w:fill="0070CD"/>
            <w:vAlign w:val="center"/>
            <w:hideMark/>
          </w:tcPr>
          <w:p w:rsidR="00263CB0" w:rsidRPr="00263CB0" w:rsidRDefault="00263CB0" w:rsidP="000963B2">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w:t>
            </w:r>
          </w:p>
        </w:tc>
        <w:tc>
          <w:tcPr>
            <w:tcW w:w="1026" w:type="dxa"/>
            <w:tcBorders>
              <w:top w:val="nil"/>
              <w:left w:val="nil"/>
              <w:bottom w:val="single" w:sz="4" w:space="0" w:color="auto"/>
              <w:right w:val="single" w:sz="4" w:space="0" w:color="auto"/>
            </w:tcBorders>
            <w:shd w:val="clear" w:color="000000" w:fill="0070CD"/>
            <w:vAlign w:val="center"/>
            <w:hideMark/>
          </w:tcPr>
          <w:p w:rsidR="00263CB0" w:rsidRPr="00263CB0" w:rsidRDefault="00263CB0" w:rsidP="000963B2">
            <w:pPr>
              <w:spacing w:after="0" w:line="240" w:lineRule="auto"/>
              <w:jc w:val="center"/>
              <w:rPr>
                <w:rFonts w:ascii="Arial" w:eastAsia="Times New Roman" w:hAnsi="Arial" w:cs="Arial"/>
                <w:b/>
                <w:color w:val="FFFFFF"/>
                <w:sz w:val="18"/>
                <w:szCs w:val="18"/>
              </w:rPr>
            </w:pPr>
            <w:r w:rsidRPr="00263CB0">
              <w:rPr>
                <w:rFonts w:ascii="Arial" w:eastAsia="Times New Roman" w:hAnsi="Arial" w:cs="Arial"/>
                <w:b/>
                <w:color w:val="FFFFFF"/>
                <w:sz w:val="18"/>
                <w:szCs w:val="18"/>
              </w:rPr>
              <w:t>(°F)</w:t>
            </w:r>
          </w:p>
        </w:tc>
      </w:tr>
      <w:tr w:rsidR="00CC65EA" w:rsidRPr="00CC65EA" w:rsidTr="00307F0C">
        <w:trPr>
          <w:trHeight w:val="255"/>
          <w:jc w:val="center"/>
        </w:trPr>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SDG&amp;E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1,229</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314.7</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290.5</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24.2</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7.7%</w:t>
            </w:r>
          </w:p>
        </w:tc>
        <w:tc>
          <w:tcPr>
            <w:tcW w:w="1026" w:type="dxa"/>
            <w:tcBorders>
              <w:top w:val="single" w:sz="4" w:space="0" w:color="auto"/>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86.6</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1,243</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318.2</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293.7</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24.5</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7.7%</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86.6</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1,381</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353.6</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326.4</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27.2</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7.7%</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86.6</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1-in-2</w:t>
            </w: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1,229</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299.8</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277.6</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22.2</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7.4%</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81.0</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1,243</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303.1</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280.7</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22.4</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7.4%</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81.0</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1,381</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336.8</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311.9</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24.9</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7.4%</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81.0</w:t>
            </w:r>
          </w:p>
        </w:tc>
      </w:tr>
      <w:tr w:rsidR="00CC65EA" w:rsidRPr="00CC65EA" w:rsidTr="00307F0C">
        <w:trPr>
          <w:trHeight w:val="255"/>
          <w:jc w:val="center"/>
        </w:trPr>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1,229</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306.1</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283.0</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23.0</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83.5</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1,243</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309.4</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286.2</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23.3</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83.5</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1,381</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343.9</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318.0</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25.9</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83.5</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1-in-2</w:t>
            </w: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1,229</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303.9</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281.1</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22.7</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83.6</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1,243</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307.2</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284.2</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23.0</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83.6</w:t>
            </w:r>
          </w:p>
        </w:tc>
      </w:tr>
      <w:tr w:rsidR="00CC65EA" w:rsidRPr="00CC65EA"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CC65EA" w:rsidRPr="00CC65EA" w:rsidRDefault="00CC65EA" w:rsidP="00CC65EA">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1,381</w:t>
            </w:r>
          </w:p>
        </w:tc>
        <w:tc>
          <w:tcPr>
            <w:tcW w:w="1675"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341.4</w:t>
            </w:r>
          </w:p>
        </w:tc>
        <w:tc>
          <w:tcPr>
            <w:tcW w:w="207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315.8</w:t>
            </w:r>
          </w:p>
        </w:tc>
        <w:tc>
          <w:tcPr>
            <w:tcW w:w="1440"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25.5</w:t>
            </w:r>
          </w:p>
        </w:tc>
        <w:tc>
          <w:tcPr>
            <w:tcW w:w="882"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7.5%</w:t>
            </w:r>
          </w:p>
        </w:tc>
        <w:tc>
          <w:tcPr>
            <w:tcW w:w="1026" w:type="dxa"/>
            <w:tcBorders>
              <w:top w:val="nil"/>
              <w:left w:val="nil"/>
              <w:bottom w:val="single" w:sz="4" w:space="0" w:color="auto"/>
              <w:right w:val="single" w:sz="4" w:space="0" w:color="auto"/>
            </w:tcBorders>
            <w:shd w:val="clear" w:color="auto" w:fill="auto"/>
            <w:noWrap/>
            <w:vAlign w:val="center"/>
            <w:hideMark/>
          </w:tcPr>
          <w:p w:rsidR="00CC65EA" w:rsidRPr="00CC65EA" w:rsidRDefault="00CC65EA" w:rsidP="00CC65EA">
            <w:pPr>
              <w:spacing w:after="0" w:line="240" w:lineRule="auto"/>
              <w:jc w:val="center"/>
              <w:rPr>
                <w:rFonts w:ascii="Arial" w:eastAsia="Times New Roman" w:hAnsi="Arial" w:cs="Arial"/>
                <w:color w:val="000000"/>
                <w:sz w:val="18"/>
                <w:szCs w:val="18"/>
              </w:rPr>
            </w:pPr>
            <w:r w:rsidRPr="00CC65EA">
              <w:rPr>
                <w:rFonts w:ascii="Arial" w:eastAsia="Times New Roman" w:hAnsi="Arial" w:cs="Arial"/>
                <w:color w:val="000000"/>
                <w:sz w:val="18"/>
                <w:szCs w:val="18"/>
              </w:rPr>
              <w:t>83.6</w:t>
            </w:r>
          </w:p>
        </w:tc>
      </w:tr>
    </w:tbl>
    <w:p w:rsidR="003C5B4E" w:rsidRDefault="003C5B4E" w:rsidP="003C5B4E">
      <w:pPr>
        <w:pStyle w:val="TableFigureCaption"/>
        <w:spacing w:before="360"/>
        <w:contextualSpacing/>
      </w:pPr>
      <w:r>
        <w:lastRenderedPageBreak/>
        <w:t>Table E-8: Aggregate Default CPP Ex Ante Load Impact Estimates by Weather Scenario for Medium C&amp;I, SDG&amp;E August System Peak Day (MW 11 AM-6 PM) – Portfolio-adjusted</w:t>
      </w:r>
    </w:p>
    <w:tbl>
      <w:tblPr>
        <w:tblW w:w="11179" w:type="dxa"/>
        <w:jc w:val="center"/>
        <w:tblInd w:w="93" w:type="dxa"/>
        <w:tblLook w:val="04A0" w:firstRow="1" w:lastRow="0" w:firstColumn="1" w:lastColumn="0" w:noHBand="0" w:noVBand="1"/>
      </w:tblPr>
      <w:tblGrid>
        <w:gridCol w:w="1000"/>
        <w:gridCol w:w="927"/>
        <w:gridCol w:w="960"/>
        <w:gridCol w:w="1037"/>
        <w:gridCol w:w="1822"/>
        <w:gridCol w:w="2170"/>
        <w:gridCol w:w="1544"/>
        <w:gridCol w:w="1096"/>
        <w:gridCol w:w="1060"/>
      </w:tblGrid>
      <w:tr w:rsidR="00344753" w:rsidRPr="00042C53" w:rsidTr="00307F0C">
        <w:trPr>
          <w:trHeight w:val="809"/>
          <w:jc w:val="center"/>
        </w:trPr>
        <w:tc>
          <w:tcPr>
            <w:tcW w:w="1000" w:type="dxa"/>
            <w:vMerge w:val="restart"/>
            <w:tcBorders>
              <w:top w:val="single" w:sz="4" w:space="0" w:color="auto"/>
              <w:left w:val="single" w:sz="4" w:space="0" w:color="auto"/>
              <w:bottom w:val="single" w:sz="4" w:space="0" w:color="000000"/>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Weather Type</w:t>
            </w:r>
          </w:p>
        </w:tc>
        <w:tc>
          <w:tcPr>
            <w:tcW w:w="92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Weather Year</w:t>
            </w:r>
          </w:p>
        </w:tc>
        <w:tc>
          <w:tcPr>
            <w:tcW w:w="960"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Year</w:t>
            </w:r>
          </w:p>
        </w:tc>
        <w:tc>
          <w:tcPr>
            <w:tcW w:w="1037" w:type="dxa"/>
            <w:vMerge w:val="restart"/>
            <w:tcBorders>
              <w:top w:val="single" w:sz="4" w:space="0" w:color="auto"/>
              <w:left w:val="single" w:sz="4" w:space="0" w:color="FFFFFF"/>
              <w:bottom w:val="single" w:sz="4" w:space="0" w:color="000000"/>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Enrolled Accounts</w:t>
            </w:r>
          </w:p>
        </w:tc>
        <w:tc>
          <w:tcPr>
            <w:tcW w:w="1822" w:type="dxa"/>
            <w:tcBorders>
              <w:top w:val="single" w:sz="4" w:space="0" w:color="auto"/>
              <w:left w:val="nil"/>
              <w:bottom w:val="single" w:sz="4" w:space="0" w:color="FFFFFF"/>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Reference Load</w:t>
            </w:r>
          </w:p>
        </w:tc>
        <w:tc>
          <w:tcPr>
            <w:tcW w:w="2170" w:type="dxa"/>
            <w:tcBorders>
              <w:top w:val="single" w:sz="4" w:space="0" w:color="auto"/>
              <w:left w:val="nil"/>
              <w:bottom w:val="single" w:sz="4" w:space="0" w:color="FFFFFF"/>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Estimated Load w/ DR</w:t>
            </w:r>
          </w:p>
        </w:tc>
        <w:tc>
          <w:tcPr>
            <w:tcW w:w="1544" w:type="dxa"/>
            <w:tcBorders>
              <w:top w:val="single" w:sz="4" w:space="0" w:color="auto"/>
              <w:left w:val="nil"/>
              <w:bottom w:val="single" w:sz="4" w:space="0" w:color="FFFFFF"/>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Aggregate Load Impact</w:t>
            </w:r>
          </w:p>
        </w:tc>
        <w:tc>
          <w:tcPr>
            <w:tcW w:w="659" w:type="dxa"/>
            <w:tcBorders>
              <w:top w:val="single" w:sz="4" w:space="0" w:color="auto"/>
              <w:left w:val="nil"/>
              <w:bottom w:val="single" w:sz="4" w:space="0" w:color="FFFFFF"/>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 Load Reduction</w:t>
            </w:r>
          </w:p>
        </w:tc>
        <w:tc>
          <w:tcPr>
            <w:tcW w:w="1060" w:type="dxa"/>
            <w:tcBorders>
              <w:top w:val="single" w:sz="4" w:space="0" w:color="auto"/>
              <w:left w:val="nil"/>
              <w:bottom w:val="single" w:sz="4" w:space="0" w:color="FFFFFF"/>
              <w:right w:val="single" w:sz="4" w:space="0" w:color="auto"/>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Weighted Temp.</w:t>
            </w:r>
          </w:p>
        </w:tc>
      </w:tr>
      <w:tr w:rsidR="00344753" w:rsidRPr="00042C53" w:rsidTr="00307F0C">
        <w:trPr>
          <w:trHeight w:val="510"/>
          <w:jc w:val="center"/>
        </w:trPr>
        <w:tc>
          <w:tcPr>
            <w:tcW w:w="1000" w:type="dxa"/>
            <w:vMerge/>
            <w:tcBorders>
              <w:top w:val="single" w:sz="4" w:space="0" w:color="auto"/>
              <w:left w:val="single" w:sz="4" w:space="0" w:color="auto"/>
              <w:bottom w:val="single" w:sz="4" w:space="0" w:color="000000"/>
              <w:right w:val="single" w:sz="4" w:space="0" w:color="FFFFFF"/>
            </w:tcBorders>
            <w:vAlign w:val="center"/>
            <w:hideMark/>
          </w:tcPr>
          <w:p w:rsidR="00344753" w:rsidRPr="00307F0C" w:rsidRDefault="00344753" w:rsidP="00042853">
            <w:pPr>
              <w:spacing w:after="0" w:line="240" w:lineRule="auto"/>
              <w:rPr>
                <w:rFonts w:ascii="Arial" w:eastAsia="Times New Roman" w:hAnsi="Arial" w:cs="Arial"/>
                <w:b/>
                <w:bCs/>
                <w:color w:val="FFFFFF"/>
                <w:sz w:val="18"/>
                <w:szCs w:val="18"/>
              </w:rPr>
            </w:pPr>
          </w:p>
        </w:tc>
        <w:tc>
          <w:tcPr>
            <w:tcW w:w="927" w:type="dxa"/>
            <w:vMerge/>
            <w:tcBorders>
              <w:top w:val="single" w:sz="4" w:space="0" w:color="auto"/>
              <w:left w:val="single" w:sz="4" w:space="0" w:color="FFFFFF"/>
              <w:bottom w:val="single" w:sz="4" w:space="0" w:color="000000"/>
              <w:right w:val="single" w:sz="4" w:space="0" w:color="FFFFFF"/>
            </w:tcBorders>
            <w:vAlign w:val="center"/>
            <w:hideMark/>
          </w:tcPr>
          <w:p w:rsidR="00344753" w:rsidRPr="00307F0C" w:rsidRDefault="00344753" w:rsidP="00042853">
            <w:pPr>
              <w:spacing w:after="0" w:line="240" w:lineRule="auto"/>
              <w:rPr>
                <w:rFonts w:ascii="Arial" w:eastAsia="Times New Roman" w:hAnsi="Arial" w:cs="Arial"/>
                <w:b/>
                <w:bCs/>
                <w:color w:val="FFFFFF"/>
                <w:sz w:val="18"/>
                <w:szCs w:val="18"/>
              </w:rPr>
            </w:pPr>
          </w:p>
        </w:tc>
        <w:tc>
          <w:tcPr>
            <w:tcW w:w="960" w:type="dxa"/>
            <w:vMerge/>
            <w:tcBorders>
              <w:top w:val="single" w:sz="4" w:space="0" w:color="auto"/>
              <w:left w:val="single" w:sz="4" w:space="0" w:color="FFFFFF"/>
              <w:bottom w:val="single" w:sz="4" w:space="0" w:color="000000"/>
              <w:right w:val="single" w:sz="4" w:space="0" w:color="FFFFFF"/>
            </w:tcBorders>
            <w:vAlign w:val="center"/>
            <w:hideMark/>
          </w:tcPr>
          <w:p w:rsidR="00344753" w:rsidRPr="00307F0C" w:rsidRDefault="00344753" w:rsidP="00042853">
            <w:pPr>
              <w:spacing w:after="0" w:line="240" w:lineRule="auto"/>
              <w:rPr>
                <w:rFonts w:ascii="Arial" w:eastAsia="Times New Roman" w:hAnsi="Arial" w:cs="Arial"/>
                <w:b/>
                <w:bCs/>
                <w:color w:val="FFFFFF"/>
                <w:sz w:val="18"/>
                <w:szCs w:val="18"/>
              </w:rPr>
            </w:pPr>
          </w:p>
        </w:tc>
        <w:tc>
          <w:tcPr>
            <w:tcW w:w="1037" w:type="dxa"/>
            <w:vMerge/>
            <w:tcBorders>
              <w:top w:val="single" w:sz="4" w:space="0" w:color="auto"/>
              <w:left w:val="single" w:sz="4" w:space="0" w:color="FFFFFF"/>
              <w:bottom w:val="single" w:sz="4" w:space="0" w:color="000000"/>
              <w:right w:val="single" w:sz="4" w:space="0" w:color="FFFFFF"/>
            </w:tcBorders>
            <w:vAlign w:val="center"/>
            <w:hideMark/>
          </w:tcPr>
          <w:p w:rsidR="00344753" w:rsidRPr="00307F0C" w:rsidRDefault="00344753" w:rsidP="00042853">
            <w:pPr>
              <w:spacing w:after="0" w:line="240" w:lineRule="auto"/>
              <w:rPr>
                <w:rFonts w:ascii="Arial" w:eastAsia="Times New Roman" w:hAnsi="Arial" w:cs="Arial"/>
                <w:b/>
                <w:bCs/>
                <w:color w:val="FFFFFF"/>
                <w:sz w:val="18"/>
                <w:szCs w:val="18"/>
              </w:rPr>
            </w:pPr>
          </w:p>
        </w:tc>
        <w:tc>
          <w:tcPr>
            <w:tcW w:w="1822" w:type="dxa"/>
            <w:tcBorders>
              <w:top w:val="nil"/>
              <w:left w:val="nil"/>
              <w:bottom w:val="single" w:sz="4" w:space="0" w:color="auto"/>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(MW  1-6 PM)</w:t>
            </w:r>
          </w:p>
        </w:tc>
        <w:tc>
          <w:tcPr>
            <w:tcW w:w="2170" w:type="dxa"/>
            <w:tcBorders>
              <w:top w:val="nil"/>
              <w:left w:val="nil"/>
              <w:bottom w:val="single" w:sz="4" w:space="0" w:color="auto"/>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(MW  1-6 PM)</w:t>
            </w:r>
          </w:p>
        </w:tc>
        <w:tc>
          <w:tcPr>
            <w:tcW w:w="1544" w:type="dxa"/>
            <w:tcBorders>
              <w:top w:val="nil"/>
              <w:left w:val="nil"/>
              <w:bottom w:val="single" w:sz="4" w:space="0" w:color="auto"/>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(MW  1-6 PM)</w:t>
            </w:r>
          </w:p>
        </w:tc>
        <w:tc>
          <w:tcPr>
            <w:tcW w:w="659" w:type="dxa"/>
            <w:tcBorders>
              <w:top w:val="nil"/>
              <w:left w:val="nil"/>
              <w:bottom w:val="single" w:sz="4" w:space="0" w:color="auto"/>
              <w:right w:val="single" w:sz="4" w:space="0" w:color="FFFFFF"/>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w:t>
            </w:r>
          </w:p>
        </w:tc>
        <w:tc>
          <w:tcPr>
            <w:tcW w:w="1060" w:type="dxa"/>
            <w:tcBorders>
              <w:top w:val="nil"/>
              <w:left w:val="nil"/>
              <w:bottom w:val="single" w:sz="4" w:space="0" w:color="auto"/>
              <w:right w:val="single" w:sz="4" w:space="0" w:color="auto"/>
            </w:tcBorders>
            <w:shd w:val="clear" w:color="000000" w:fill="0070CD"/>
            <w:vAlign w:val="center"/>
            <w:hideMark/>
          </w:tcPr>
          <w:p w:rsidR="00344753" w:rsidRPr="00307F0C" w:rsidRDefault="00344753" w:rsidP="00042853">
            <w:pPr>
              <w:spacing w:after="0" w:line="240" w:lineRule="auto"/>
              <w:jc w:val="center"/>
              <w:rPr>
                <w:rFonts w:ascii="Arial" w:eastAsia="Times New Roman" w:hAnsi="Arial" w:cs="Arial"/>
                <w:b/>
                <w:bCs/>
                <w:color w:val="FFFFFF"/>
                <w:sz w:val="18"/>
                <w:szCs w:val="18"/>
              </w:rPr>
            </w:pPr>
            <w:r w:rsidRPr="00307F0C">
              <w:rPr>
                <w:rFonts w:ascii="Arial" w:eastAsia="Times New Roman" w:hAnsi="Arial" w:cs="Arial"/>
                <w:b/>
                <w:bCs/>
                <w:color w:val="FFFFFF"/>
                <w:sz w:val="18"/>
                <w:szCs w:val="18"/>
              </w:rPr>
              <w:t>(°F)</w:t>
            </w:r>
          </w:p>
        </w:tc>
      </w:tr>
      <w:tr w:rsidR="00344753" w:rsidRPr="00042C53" w:rsidTr="00307F0C">
        <w:trPr>
          <w:trHeight w:val="255"/>
          <w:jc w:val="center"/>
        </w:trPr>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SDG&amp;E</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8,137</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476.6</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468.3</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7,356</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430.9</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422.3</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8.6</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7,050</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413.0</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403.7</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9.3</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7,923</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464.1</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453.6</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10.4</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91.3</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1-in-2</w:t>
            </w: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8,137</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448.1</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440.2</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7.8</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7,356</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405.0</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396.9</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7,050</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388.2</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379.5</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8.7</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7,923</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436.3</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426.5</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9.8</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83.5</w:t>
            </w:r>
          </w:p>
        </w:tc>
      </w:tr>
      <w:tr w:rsidR="00344753" w:rsidRPr="00042C53" w:rsidTr="00307F0C">
        <w:trPr>
          <w:trHeight w:val="255"/>
          <w:jc w:val="center"/>
        </w:trPr>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CAISO</w:t>
            </w: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1-in-10</w:t>
            </w: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8,137</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463.7</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455.6</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7,356</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419.2</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410.8</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8.4</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7,050</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401.7</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392.7</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9.0</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7,923</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451.5</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441.3</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10.2</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val="restart"/>
            <w:tcBorders>
              <w:top w:val="nil"/>
              <w:left w:val="single" w:sz="4" w:space="0" w:color="auto"/>
              <w:bottom w:val="single" w:sz="4" w:space="0" w:color="auto"/>
              <w:right w:val="single" w:sz="4" w:space="0" w:color="auto"/>
            </w:tcBorders>
            <w:shd w:val="clear" w:color="auto" w:fill="auto"/>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1-in-2</w:t>
            </w: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2016</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8,137</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459.6</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451.5</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8.0</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1.8%</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2017</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7,356</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415.5</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407.2</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8.3</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2018</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7,050</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398.2</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389.2</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9.0</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r w:rsidR="00344753" w:rsidRPr="00042C53" w:rsidTr="00307F0C">
        <w:trPr>
          <w:trHeight w:val="255"/>
          <w:jc w:val="center"/>
        </w:trPr>
        <w:tc>
          <w:tcPr>
            <w:tcW w:w="1000"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27" w:type="dxa"/>
            <w:vMerge/>
            <w:tcBorders>
              <w:top w:val="nil"/>
              <w:left w:val="single" w:sz="4" w:space="0" w:color="auto"/>
              <w:bottom w:val="single" w:sz="4" w:space="0" w:color="auto"/>
              <w:right w:val="single" w:sz="4" w:space="0" w:color="auto"/>
            </w:tcBorders>
            <w:vAlign w:val="center"/>
            <w:hideMark/>
          </w:tcPr>
          <w:p w:rsidR="00344753" w:rsidRPr="00307F0C" w:rsidRDefault="00344753" w:rsidP="00042853">
            <w:pPr>
              <w:spacing w:after="0" w:line="240" w:lineRule="auto"/>
              <w:rPr>
                <w:rFonts w:ascii="Arial" w:eastAsia="Times New Roman" w:hAnsi="Arial" w:cs="Arial"/>
                <w:color w:val="000000"/>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2025</w:t>
            </w:r>
          </w:p>
        </w:tc>
        <w:tc>
          <w:tcPr>
            <w:tcW w:w="1037"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7,923</w:t>
            </w:r>
          </w:p>
        </w:tc>
        <w:tc>
          <w:tcPr>
            <w:tcW w:w="1822"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447.5</w:t>
            </w:r>
          </w:p>
        </w:tc>
        <w:tc>
          <w:tcPr>
            <w:tcW w:w="217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437.4</w:t>
            </w:r>
          </w:p>
        </w:tc>
        <w:tc>
          <w:tcPr>
            <w:tcW w:w="1544"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10.1</w:t>
            </w:r>
          </w:p>
        </w:tc>
        <w:tc>
          <w:tcPr>
            <w:tcW w:w="659"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2.3%</w:t>
            </w:r>
          </w:p>
        </w:tc>
        <w:tc>
          <w:tcPr>
            <w:tcW w:w="1060" w:type="dxa"/>
            <w:tcBorders>
              <w:top w:val="nil"/>
              <w:left w:val="nil"/>
              <w:bottom w:val="single" w:sz="4" w:space="0" w:color="auto"/>
              <w:right w:val="single" w:sz="4" w:space="0" w:color="auto"/>
            </w:tcBorders>
            <w:shd w:val="clear" w:color="auto" w:fill="auto"/>
            <w:noWrap/>
            <w:vAlign w:val="center"/>
            <w:hideMark/>
          </w:tcPr>
          <w:p w:rsidR="00344753" w:rsidRPr="00307F0C" w:rsidRDefault="00344753" w:rsidP="00042853">
            <w:pPr>
              <w:spacing w:after="0" w:line="240" w:lineRule="auto"/>
              <w:jc w:val="center"/>
              <w:rPr>
                <w:rFonts w:ascii="Arial" w:eastAsia="Times New Roman" w:hAnsi="Arial" w:cs="Arial"/>
                <w:color w:val="000000"/>
                <w:sz w:val="18"/>
                <w:szCs w:val="18"/>
              </w:rPr>
            </w:pPr>
            <w:r w:rsidRPr="00307F0C">
              <w:rPr>
                <w:rFonts w:ascii="Arial" w:eastAsia="Times New Roman" w:hAnsi="Arial" w:cs="Arial"/>
                <w:color w:val="000000"/>
                <w:sz w:val="18"/>
                <w:szCs w:val="18"/>
              </w:rPr>
              <w:t>88.5</w:t>
            </w:r>
          </w:p>
        </w:tc>
      </w:tr>
    </w:tbl>
    <w:p w:rsidR="00CC65EA" w:rsidRDefault="00CC65EA" w:rsidP="003C5B4E">
      <w:pPr>
        <w:pStyle w:val="BodyParagraph"/>
      </w:pPr>
      <w:r>
        <w:br w:type="page"/>
      </w:r>
    </w:p>
    <w:p w:rsidR="006A7080" w:rsidRDefault="006A7080" w:rsidP="006A7080">
      <w:pPr>
        <w:pStyle w:val="AppendixHeading"/>
      </w:pPr>
      <w:bookmarkStart w:id="286" w:name="_Toc415494822"/>
      <w:r>
        <w:lastRenderedPageBreak/>
        <w:t>Ex Ante Reference Load Regression Specification</w:t>
      </w:r>
      <w:bookmarkEnd w:id="285"/>
      <w:bookmarkEnd w:id="286"/>
    </w:p>
    <w:p w:rsidR="009551EB" w:rsidRPr="009551EB" w:rsidRDefault="009551EB" w:rsidP="009551EB">
      <w:pPr>
        <w:pStyle w:val="BodyParagraph"/>
      </w:pPr>
      <w:r>
        <w:t>This section provides the regression model specification for modeling reference loads</w:t>
      </w:r>
      <w:proofErr w:type="gramStart"/>
      <w:r>
        <w:t xml:space="preserve">. </w:t>
      </w:r>
      <w:r w:rsidR="00241DC7">
        <w:t xml:space="preserve"> </w:t>
      </w:r>
      <w:proofErr w:type="gramEnd"/>
      <w:r>
        <w:t xml:space="preserve">The resulting model is applied to each weather scenario in the 2015 through 2025 ex ante load impact forecast. </w:t>
      </w:r>
    </w:p>
    <w:p w:rsidR="006A7080" w:rsidRDefault="001E777E" w:rsidP="006A7080">
      <w:pPr>
        <w:pStyle w:val="BodyParagraph"/>
        <w:jc w:val="center"/>
        <w:rPr>
          <w:szCs w:val="18"/>
        </w:rPr>
      </w:pPr>
      <m:oMath>
        <m:sSub>
          <m:sSubPr>
            <m:ctrlPr>
              <w:rPr>
                <w:rFonts w:ascii="Cambria Math" w:hAnsi="Cambria Math"/>
                <w:szCs w:val="18"/>
              </w:rPr>
            </m:ctrlPr>
          </m:sSubPr>
          <m:e>
            <m:r>
              <w:rPr>
                <w:rFonts w:ascii="Cambria Math" w:hAnsi="Cambria Math"/>
                <w:szCs w:val="18"/>
              </w:rPr>
              <m:t>kW</m:t>
            </m:r>
          </m:e>
          <m:sub>
            <m:r>
              <w:rPr>
                <w:rFonts w:ascii="Cambria Math" w:hAnsi="Cambria Math"/>
                <w:szCs w:val="18"/>
              </w:rPr>
              <m:t>lhd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lh</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j</m:t>
                </m:r>
                <m:r>
                  <m:rPr>
                    <m:sty m:val="p"/>
                  </m:rPr>
                  <w:rPr>
                    <w:rFonts w:ascii="Cambria Math" w:hAnsi="Cambria Math"/>
                    <w:szCs w:val="18"/>
                  </w:rPr>
                  <m:t>=2</m:t>
                </m:r>
              </m:sub>
              <m:sup>
                <m:r>
                  <m:rPr>
                    <m:sty m:val="p"/>
                  </m:rPr>
                  <w:rPr>
                    <w:rFonts w:ascii="Cambria Math" w:hAnsi="Cambria Math"/>
                    <w:szCs w:val="18"/>
                  </w:rPr>
                  <m:t>12</m:t>
                </m:r>
              </m:sup>
              <m:e>
                <m:sSub>
                  <m:sSubPr>
                    <m:ctrlPr>
                      <w:rPr>
                        <w:rFonts w:ascii="Cambria Math" w:hAnsi="Cambria Math"/>
                        <w:szCs w:val="18"/>
                      </w:rPr>
                    </m:ctrlPr>
                  </m:sSubPr>
                  <m:e>
                    <m:r>
                      <w:rPr>
                        <w:rFonts w:ascii="Cambria Math" w:hAnsi="Cambria Math"/>
                        <w:szCs w:val="18"/>
                      </w:rPr>
                      <m:t>b</m:t>
                    </m:r>
                  </m:e>
                  <m:sub>
                    <m:r>
                      <w:rPr>
                        <w:rFonts w:ascii="Cambria Math" w:hAnsi="Cambria Math"/>
                        <w:szCs w:val="18"/>
                      </w:rPr>
                      <m:t>lhj</m:t>
                    </m:r>
                  </m:sub>
                </m:sSub>
                <m:r>
                  <m:rPr>
                    <m:sty m:val="p"/>
                  </m:rPr>
                  <w:rPr>
                    <w:rFonts w:ascii="Cambria Math" w:hAnsi="Cambria Math"/>
                    <w:szCs w:val="18"/>
                  </w:rPr>
                  <m:t>*</m:t>
                </m:r>
              </m:e>
            </m:nary>
            <m:r>
              <w:rPr>
                <w:rFonts w:ascii="Cambria Math" w:hAnsi="Cambria Math"/>
                <w:szCs w:val="18"/>
              </w:rPr>
              <m:t>month</m:t>
            </m:r>
          </m:e>
          <m:sub>
            <m:r>
              <w:rPr>
                <w:rFonts w:ascii="Cambria Math" w:hAnsi="Cambria Math"/>
                <w:szCs w:val="18"/>
              </w:rPr>
              <m:t>lhdj</m:t>
            </m:r>
          </m:sub>
        </m:sSub>
        <m:r>
          <m:rPr>
            <m:sty m:val="p"/>
          </m:rPr>
          <w:rPr>
            <w:rFonts w:ascii="Cambria Math" w:hAnsi="Cambria Math"/>
            <w:szCs w:val="18"/>
          </w:rPr>
          <m:t>+</m:t>
        </m:r>
        <m:sSub>
          <m:sSubPr>
            <m:ctrlPr>
              <w:rPr>
                <w:rFonts w:ascii="Cambria Math" w:hAnsi="Cambria Math"/>
                <w:szCs w:val="18"/>
              </w:rPr>
            </m:ctrlPr>
          </m:sSubPr>
          <m:e>
            <m:nary>
              <m:naryPr>
                <m:chr m:val="∑"/>
                <m:limLoc m:val="undOvr"/>
                <m:ctrlPr>
                  <w:rPr>
                    <w:rFonts w:ascii="Cambria Math" w:hAnsi="Cambria Math"/>
                    <w:szCs w:val="18"/>
                  </w:rPr>
                </m:ctrlPr>
              </m:naryPr>
              <m:sub>
                <m:r>
                  <w:rPr>
                    <w:rFonts w:ascii="Cambria Math" w:hAnsi="Cambria Math"/>
                    <w:szCs w:val="18"/>
                  </w:rPr>
                  <m:t>k</m:t>
                </m:r>
                <m:r>
                  <m:rPr>
                    <m:sty m:val="p"/>
                  </m:rPr>
                  <w:rPr>
                    <w:rFonts w:ascii="Cambria Math" w:hAnsi="Cambria Math"/>
                    <w:szCs w:val="18"/>
                  </w:rPr>
                  <m:t>=2</m:t>
                </m:r>
              </m:sub>
              <m:sup>
                <m:r>
                  <w:rPr>
                    <w:rFonts w:ascii="Cambria Math" w:hAnsi="Cambria Math"/>
                    <w:szCs w:val="18"/>
                  </w:rPr>
                  <m:t>5</m:t>
                </m:r>
              </m:sup>
              <m:e>
                <m:sSub>
                  <m:sSubPr>
                    <m:ctrlPr>
                      <w:rPr>
                        <w:rFonts w:ascii="Cambria Math" w:hAnsi="Cambria Math"/>
                        <w:szCs w:val="18"/>
                      </w:rPr>
                    </m:ctrlPr>
                  </m:sSubPr>
                  <m:e>
                    <m:r>
                      <w:rPr>
                        <w:rFonts w:ascii="Cambria Math" w:hAnsi="Cambria Math"/>
                        <w:szCs w:val="18"/>
                      </w:rPr>
                      <m:t>c</m:t>
                    </m:r>
                  </m:e>
                  <m:sub>
                    <m:r>
                      <w:rPr>
                        <w:rFonts w:ascii="Cambria Math" w:hAnsi="Cambria Math"/>
                        <w:szCs w:val="18"/>
                      </w:rPr>
                      <m:t>lhk</m:t>
                    </m:r>
                  </m:sub>
                </m:sSub>
                <m:r>
                  <m:rPr>
                    <m:sty m:val="p"/>
                  </m:rPr>
                  <w:rPr>
                    <w:rFonts w:ascii="Cambria Math" w:hAnsi="Cambria Math"/>
                    <w:szCs w:val="18"/>
                  </w:rPr>
                  <m:t>*</m:t>
                </m:r>
              </m:e>
            </m:nary>
            <m:r>
              <w:rPr>
                <w:rFonts w:ascii="Cambria Math" w:hAnsi="Cambria Math"/>
                <w:szCs w:val="18"/>
              </w:rPr>
              <m:t>dow</m:t>
            </m:r>
          </m:e>
          <m:sub>
            <m:r>
              <w:rPr>
                <w:rFonts w:ascii="Cambria Math" w:hAnsi="Cambria Math"/>
                <w:szCs w:val="18"/>
              </w:rPr>
              <m:t>lhdk</m:t>
            </m:r>
          </m:sub>
        </m:sSub>
        <m:sSub>
          <m:sSubPr>
            <m:ctrlPr>
              <w:rPr>
                <w:rFonts w:ascii="Cambria Math" w:hAnsi="Cambria Math"/>
                <w:szCs w:val="18"/>
              </w:rPr>
            </m:ctrlPr>
          </m:sSubPr>
          <m:e>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d</m:t>
                </m:r>
              </m:e>
              <m:sub>
                <m:r>
                  <w:rPr>
                    <w:rFonts w:ascii="Cambria Math" w:hAnsi="Cambria Math"/>
                    <w:szCs w:val="18"/>
                  </w:rPr>
                  <m:t>lh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mean17</m:t>
                </m:r>
              </m:e>
              <m:sub>
                <m:r>
                  <w:rPr>
                    <w:rFonts w:ascii="Cambria Math" w:hAnsi="Cambria Math"/>
                    <w:szCs w:val="18"/>
                  </w:rPr>
                  <m:t>lhd</m:t>
                </m:r>
              </m:sub>
            </m:sSub>
            <m:r>
              <m:rPr>
                <m:sty m:val="p"/>
              </m:rPr>
              <w:rPr>
                <w:rFonts w:ascii="Cambria Math" w:hAnsi="Cambria Math"/>
                <w:szCs w:val="18"/>
              </w:rPr>
              <m:t>+</m:t>
            </m:r>
            <m:sSub>
              <m:sSubPr>
                <m:ctrlPr>
                  <w:rPr>
                    <w:rFonts w:ascii="Cambria Math" w:hAnsi="Cambria Math"/>
                    <w:i/>
                    <w:szCs w:val="18"/>
                  </w:rPr>
                </m:ctrlPr>
              </m:sSubPr>
              <m:e>
                <m:r>
                  <w:rPr>
                    <w:rFonts w:ascii="Cambria Math" w:hAnsi="Cambria Math"/>
                    <w:szCs w:val="18"/>
                  </w:rPr>
                  <m:t>f</m:t>
                </m:r>
              </m:e>
              <m:sub>
                <m:r>
                  <w:rPr>
                    <w:rFonts w:ascii="Cambria Math" w:hAnsi="Cambria Math"/>
                    <w:szCs w:val="18"/>
                  </w:rPr>
                  <m:t>lh</m:t>
                </m:r>
              </m:sub>
            </m:sSub>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mean17sqr</m:t>
                </m:r>
              </m:e>
              <m:sub>
                <m:r>
                  <w:rPr>
                    <w:rFonts w:ascii="Cambria Math" w:hAnsi="Cambria Math"/>
                    <w:szCs w:val="18"/>
                  </w:rPr>
                  <m:t>lhd</m:t>
                </m:r>
              </m:sub>
            </m:sSub>
            <m:r>
              <m:rPr>
                <m:sty m:val="p"/>
              </m:rPr>
              <w:rPr>
                <w:rFonts w:ascii="Cambria Math" w:hAnsi="Cambria Math"/>
                <w:szCs w:val="18"/>
              </w:rPr>
              <m:t>+</m:t>
            </m:r>
            <m:nary>
              <m:naryPr>
                <m:chr m:val="∑"/>
                <m:limLoc m:val="undOvr"/>
                <m:ctrlPr>
                  <w:rPr>
                    <w:rFonts w:ascii="Cambria Math" w:hAnsi="Cambria Math"/>
                    <w:szCs w:val="18"/>
                  </w:rPr>
                </m:ctrlPr>
              </m:naryPr>
              <m:sub>
                <m:r>
                  <w:rPr>
                    <w:rFonts w:ascii="Cambria Math" w:hAnsi="Cambria Math"/>
                    <w:szCs w:val="18"/>
                  </w:rPr>
                  <m:t>p</m:t>
                </m:r>
                <m:r>
                  <m:rPr>
                    <m:sty m:val="p"/>
                  </m:rPr>
                  <w:rPr>
                    <w:rFonts w:ascii="Cambria Math" w:hAnsi="Cambria Math"/>
                    <w:szCs w:val="18"/>
                  </w:rPr>
                  <m:t>=1</m:t>
                </m:r>
              </m:sub>
              <m:sup>
                <m:r>
                  <m:rPr>
                    <m:sty m:val="p"/>
                  </m:rPr>
                  <w:rPr>
                    <w:rFonts w:ascii="Cambria Math" w:hAnsi="Cambria Math"/>
                    <w:szCs w:val="18"/>
                  </w:rPr>
                  <m:t>n</m:t>
                </m:r>
              </m:sup>
              <m:e>
                <m:sSub>
                  <m:sSubPr>
                    <m:ctrlPr>
                      <w:rPr>
                        <w:rFonts w:ascii="Cambria Math" w:hAnsi="Cambria Math"/>
                        <w:szCs w:val="18"/>
                      </w:rPr>
                    </m:ctrlPr>
                  </m:sSubPr>
                  <m:e>
                    <m:r>
                      <w:rPr>
                        <w:rFonts w:ascii="Cambria Math" w:hAnsi="Cambria Math"/>
                        <w:szCs w:val="18"/>
                      </w:rPr>
                      <m:t>g</m:t>
                    </m:r>
                  </m:e>
                  <m:sub>
                    <m:r>
                      <w:rPr>
                        <w:rFonts w:ascii="Cambria Math" w:hAnsi="Cambria Math"/>
                        <w:szCs w:val="18"/>
                      </w:rPr>
                      <m:t>lhp</m:t>
                    </m:r>
                  </m:sub>
                </m:sSub>
              </m:e>
            </m:nary>
            <m:r>
              <m:rPr>
                <m:sty m:val="p"/>
              </m:rPr>
              <w:rPr>
                <w:rFonts w:ascii="Cambria Math" w:hAnsi="Cambria Math"/>
                <w:szCs w:val="18"/>
              </w:rPr>
              <m:t>*</m:t>
            </m:r>
            <m:sSub>
              <m:sSubPr>
                <m:ctrlPr>
                  <w:rPr>
                    <w:rFonts w:ascii="Cambria Math" w:hAnsi="Cambria Math"/>
                    <w:szCs w:val="18"/>
                  </w:rPr>
                </m:ctrlPr>
              </m:sSubPr>
              <m:e>
                <m:r>
                  <w:rPr>
                    <w:rFonts w:ascii="Cambria Math" w:hAnsi="Cambria Math"/>
                    <w:szCs w:val="18"/>
                  </w:rPr>
                  <m:t>eventday</m:t>
                </m:r>
              </m:e>
              <m:sub>
                <m:r>
                  <w:rPr>
                    <w:rFonts w:ascii="Cambria Math" w:hAnsi="Cambria Math"/>
                    <w:szCs w:val="18"/>
                  </w:rPr>
                  <m:t>lhdp</m:t>
                </m:r>
              </m:sub>
            </m:sSub>
            <m:r>
              <m:rPr>
                <m:sty m:val="p"/>
              </m:rPr>
              <w:rPr>
                <w:rFonts w:ascii="Cambria Math" w:hAnsi="Cambria Math"/>
                <w:szCs w:val="18"/>
              </w:rPr>
              <m:t>+</m:t>
            </m:r>
            <m:r>
              <w:rPr>
                <w:rFonts w:ascii="Cambria Math" w:hAnsi="Cambria Math"/>
                <w:szCs w:val="18"/>
              </w:rPr>
              <m:t>e</m:t>
            </m:r>
          </m:e>
          <m:sub>
            <m:r>
              <w:rPr>
                <w:rFonts w:ascii="Cambria Math" w:hAnsi="Cambria Math"/>
                <w:szCs w:val="18"/>
              </w:rPr>
              <m:t>lhd</m:t>
            </m:r>
          </m:sub>
        </m:sSub>
        <m:r>
          <m:rPr>
            <m:sty m:val="p"/>
          </m:rPr>
          <w:rPr>
            <w:rFonts w:ascii="Cambria Math" w:hAnsi="Cambria Math"/>
            <w:szCs w:val="18"/>
          </w:rPr>
          <m:t xml:space="preserve">  for</m:t>
        </m:r>
      </m:oMath>
      <w:r w:rsidR="006A7080">
        <w:rPr>
          <w:rFonts w:ascii="Cambria Math" w:hAnsi="Cambria Math"/>
          <w:szCs w:val="18"/>
        </w:rPr>
        <w:t xml:space="preserve"> </w:t>
      </w:r>
      <m:oMath>
        <m:r>
          <w:rPr>
            <w:rFonts w:ascii="Cambria Math" w:hAnsi="Cambria Math"/>
            <w:szCs w:val="18"/>
          </w:rPr>
          <m:t xml:space="preserve">l∈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l</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and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bl>
      <w:tblPr>
        <w:tblW w:w="9240" w:type="dxa"/>
        <w:jc w:val="center"/>
        <w:tblLook w:val="04A0" w:firstRow="1" w:lastRow="0" w:firstColumn="1" w:lastColumn="0" w:noHBand="0" w:noVBand="1"/>
      </w:tblPr>
      <w:tblGrid>
        <w:gridCol w:w="2560"/>
        <w:gridCol w:w="6680"/>
      </w:tblGrid>
      <w:tr w:rsidR="006A7080" w:rsidTr="00022617">
        <w:trPr>
          <w:trHeight w:val="300"/>
          <w:tblHeader/>
          <w:jc w:val="center"/>
        </w:trPr>
        <w:tc>
          <w:tcPr>
            <w:tcW w:w="2560" w:type="dxa"/>
            <w:tcBorders>
              <w:top w:val="single" w:sz="4" w:space="0" w:color="auto"/>
              <w:left w:val="single" w:sz="4" w:space="0" w:color="auto"/>
              <w:bottom w:val="single" w:sz="4" w:space="0" w:color="auto"/>
              <w:right w:val="single" w:sz="4" w:space="0" w:color="FFFFFF"/>
            </w:tcBorders>
            <w:shd w:val="clear" w:color="auto" w:fill="0070CD"/>
            <w:noWrap/>
            <w:vAlign w:val="center"/>
            <w:hideMark/>
          </w:tcPr>
          <w:p w:rsidR="006A7080" w:rsidRDefault="006A7080" w:rsidP="003B398F">
            <w:pPr>
              <w:pStyle w:val="TableHeader"/>
              <w:spacing w:line="276" w:lineRule="auto"/>
            </w:pPr>
            <w:r>
              <w:t>Variable</w:t>
            </w:r>
          </w:p>
        </w:tc>
        <w:tc>
          <w:tcPr>
            <w:tcW w:w="6680" w:type="dxa"/>
            <w:tcBorders>
              <w:top w:val="single" w:sz="4" w:space="0" w:color="auto"/>
              <w:left w:val="nil"/>
              <w:bottom w:val="single" w:sz="4" w:space="0" w:color="auto"/>
              <w:right w:val="single" w:sz="4" w:space="0" w:color="auto"/>
            </w:tcBorders>
            <w:shd w:val="clear" w:color="auto" w:fill="0070CD"/>
            <w:noWrap/>
            <w:vAlign w:val="bottom"/>
            <w:hideMark/>
          </w:tcPr>
          <w:p w:rsidR="006A7080" w:rsidRDefault="006A7080" w:rsidP="003B398F">
            <w:pPr>
              <w:pStyle w:val="TableHeader"/>
              <w:spacing w:line="276" w:lineRule="auto"/>
            </w:pPr>
            <w:r>
              <w:t>Description</w:t>
            </w:r>
          </w:p>
        </w:tc>
      </w:tr>
      <w:tr w:rsidR="006A7080" w:rsidTr="003B398F">
        <w:trPr>
          <w:trHeight w:val="300"/>
          <w:jc w:val="center"/>
        </w:trPr>
        <w:tc>
          <w:tcPr>
            <w:tcW w:w="2560" w:type="dxa"/>
            <w:tcBorders>
              <w:top w:val="nil"/>
              <w:left w:val="single" w:sz="4" w:space="0" w:color="auto"/>
              <w:bottom w:val="single" w:sz="4" w:space="0" w:color="auto"/>
              <w:right w:val="single" w:sz="4" w:space="0" w:color="auto"/>
            </w:tcBorders>
            <w:noWrap/>
            <w:vAlign w:val="center"/>
          </w:tcPr>
          <w:p w:rsidR="006A7080" w:rsidRPr="004A7CF8" w:rsidRDefault="006A7080" w:rsidP="003B398F">
            <w:pPr>
              <w:pStyle w:val="TableText"/>
              <w:spacing w:line="276" w:lineRule="auto"/>
              <w:rPr>
                <w:rFonts w:ascii="Cambria Math" w:hAnsi="Cambria Math" w:cs="Times New Roman"/>
                <w:i/>
                <w:sz w:val="22"/>
              </w:rPr>
            </w:pPr>
            <w:r w:rsidRPr="004A7CF8">
              <w:rPr>
                <w:rFonts w:ascii="Cambria Math" w:hAnsi="Cambria Math" w:cs="Times New Roman"/>
                <w:i/>
                <w:sz w:val="22"/>
              </w:rPr>
              <w:t>l, h, d</w:t>
            </w:r>
          </w:p>
        </w:tc>
        <w:tc>
          <w:tcPr>
            <w:tcW w:w="6680" w:type="dxa"/>
            <w:tcBorders>
              <w:top w:val="nil"/>
              <w:left w:val="nil"/>
              <w:bottom w:val="single" w:sz="4" w:space="0" w:color="auto"/>
              <w:right w:val="single" w:sz="4" w:space="0" w:color="auto"/>
            </w:tcBorders>
            <w:noWrap/>
            <w:vAlign w:val="center"/>
          </w:tcPr>
          <w:p w:rsidR="006A7080" w:rsidRDefault="006A7080" w:rsidP="003B398F">
            <w:pPr>
              <w:pStyle w:val="TableText"/>
              <w:spacing w:line="276" w:lineRule="auto"/>
              <w:jc w:val="left"/>
            </w:pPr>
            <w:r>
              <w:t xml:space="preserve">Index for segment (LCA or industry, depending on utility), index for hour, </w:t>
            </w:r>
            <w:r w:rsidR="009551EB">
              <w:t xml:space="preserve">and </w:t>
            </w:r>
            <w:r>
              <w:t>index for event day</w:t>
            </w:r>
          </w:p>
        </w:tc>
      </w:tr>
      <w:tr w:rsidR="006A7080" w:rsidTr="003B398F">
        <w:trPr>
          <w:trHeight w:val="3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cs="Times New Roman"/>
                <w:i/>
                <w:sz w:val="22"/>
              </w:rPr>
            </w:pPr>
            <w:r w:rsidRPr="004A7CF8">
              <w:rPr>
                <w:rFonts w:ascii="Cambria Math" w:hAnsi="Cambria Math" w:cs="Times New Roman"/>
                <w:i/>
                <w:sz w:val="22"/>
              </w:rPr>
              <w:t>kW</w:t>
            </w:r>
          </w:p>
        </w:tc>
        <w:tc>
          <w:tcPr>
            <w:tcW w:w="6680" w:type="dxa"/>
            <w:tcBorders>
              <w:top w:val="nil"/>
              <w:left w:val="nil"/>
              <w:bottom w:val="single" w:sz="4" w:space="0" w:color="auto"/>
              <w:right w:val="single" w:sz="4" w:space="0" w:color="auto"/>
            </w:tcBorders>
            <w:noWrap/>
            <w:vAlign w:val="center"/>
            <w:hideMark/>
          </w:tcPr>
          <w:p w:rsidR="006A7080" w:rsidRDefault="006A7080" w:rsidP="003B398F">
            <w:pPr>
              <w:pStyle w:val="TableText"/>
              <w:spacing w:line="276" w:lineRule="auto"/>
              <w:jc w:val="left"/>
              <w:rPr>
                <w:rFonts w:eastAsia="Calibri" w:cs="Times New Roman"/>
              </w:rPr>
            </w:pPr>
            <w:r>
              <w:t>Energy usage in each hourly interval t={1,2,3, …, 24} for each date d</w:t>
            </w:r>
          </w:p>
        </w:tc>
      </w:tr>
      <w:tr w:rsidR="006A7080" w:rsidTr="003B398F">
        <w:trPr>
          <w:trHeight w:val="3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cs="Times New Roman"/>
                <w:i/>
                <w:sz w:val="22"/>
              </w:rPr>
            </w:pPr>
            <w:r w:rsidRPr="004A7CF8">
              <w:rPr>
                <w:rFonts w:ascii="Cambria Math" w:hAnsi="Cambria Math" w:cs="Times New Roman"/>
                <w:i/>
                <w:sz w:val="22"/>
              </w:rPr>
              <w:t>month</w:t>
            </w:r>
          </w:p>
        </w:tc>
        <w:tc>
          <w:tcPr>
            <w:tcW w:w="6680" w:type="dxa"/>
            <w:tcBorders>
              <w:top w:val="nil"/>
              <w:left w:val="nil"/>
              <w:bottom w:val="single" w:sz="4" w:space="0" w:color="auto"/>
              <w:right w:val="single" w:sz="4" w:space="0" w:color="auto"/>
            </w:tcBorders>
            <w:noWrap/>
            <w:vAlign w:val="center"/>
            <w:hideMark/>
          </w:tcPr>
          <w:p w:rsidR="006A7080" w:rsidRDefault="006A7080" w:rsidP="003B398F">
            <w:pPr>
              <w:pStyle w:val="TableText"/>
              <w:spacing w:line="276" w:lineRule="auto"/>
              <w:jc w:val="left"/>
              <w:rPr>
                <w:rFonts w:eastAsia="Calibri" w:cs="Times New Roman"/>
              </w:rPr>
            </w:pPr>
            <w:r>
              <w:t>Binary variable indicating the month of the hourly observation</w:t>
            </w:r>
          </w:p>
        </w:tc>
      </w:tr>
      <w:tr w:rsidR="006A7080" w:rsidTr="003B398F">
        <w:trPr>
          <w:trHeight w:val="125"/>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cs="Times New Roman"/>
                <w:i/>
                <w:sz w:val="22"/>
              </w:rPr>
            </w:pPr>
            <w:proofErr w:type="spellStart"/>
            <w:r w:rsidRPr="004A7CF8">
              <w:rPr>
                <w:rFonts w:ascii="Cambria Math" w:hAnsi="Cambria Math" w:cs="Times New Roman"/>
                <w:i/>
                <w:sz w:val="22"/>
              </w:rPr>
              <w:t>dow</w:t>
            </w:r>
            <w:proofErr w:type="spellEnd"/>
          </w:p>
        </w:tc>
        <w:tc>
          <w:tcPr>
            <w:tcW w:w="668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Binary variable for the day type of the hourly observation</w:t>
            </w:r>
          </w:p>
        </w:tc>
      </w:tr>
      <w:tr w:rsidR="006A7080" w:rsidTr="003B398F">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cs="Times New Roman"/>
                <w:i/>
                <w:sz w:val="22"/>
              </w:rPr>
            </w:pPr>
            <w:r w:rsidRPr="004A7CF8">
              <w:rPr>
                <w:rFonts w:ascii="Cambria Math" w:hAnsi="Cambria Math" w:cs="Times New Roman"/>
                <w:i/>
                <w:sz w:val="22"/>
              </w:rPr>
              <w:t>mean17</w:t>
            </w:r>
          </w:p>
        </w:tc>
        <w:tc>
          <w:tcPr>
            <w:tcW w:w="6680" w:type="dxa"/>
            <w:tcBorders>
              <w:top w:val="nil"/>
              <w:left w:val="nil"/>
              <w:bottom w:val="single" w:sz="4" w:space="0" w:color="auto"/>
              <w:right w:val="single" w:sz="4" w:space="0" w:color="auto"/>
            </w:tcBorders>
            <w:vAlign w:val="center"/>
            <w:hideMark/>
          </w:tcPr>
          <w:p w:rsidR="006A7080" w:rsidRDefault="009551EB" w:rsidP="009551EB">
            <w:pPr>
              <w:pStyle w:val="TableText"/>
              <w:spacing w:line="276" w:lineRule="auto"/>
              <w:jc w:val="left"/>
              <w:rPr>
                <w:rFonts w:eastAsia="Calibri" w:cs="Times New Roman"/>
              </w:rPr>
            </w:pPr>
            <w:r>
              <w:t>D</w:t>
            </w:r>
            <w:r w:rsidRPr="009551EB">
              <w:t xml:space="preserve">aily average </w:t>
            </w:r>
            <w:r>
              <w:t>temperature from midnight to 5 PM</w:t>
            </w:r>
            <w:r w:rsidRPr="009551EB">
              <w:t>, which is used to capture heat buildup in the daylight hours</w:t>
            </w:r>
          </w:p>
        </w:tc>
      </w:tr>
      <w:tr w:rsidR="006A7080" w:rsidTr="003B398F">
        <w:trPr>
          <w:trHeight w:val="60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cs="Times New Roman"/>
                <w:i/>
                <w:sz w:val="22"/>
              </w:rPr>
            </w:pPr>
            <w:r w:rsidRPr="004A7CF8">
              <w:rPr>
                <w:rFonts w:ascii="Cambria Math" w:hAnsi="Cambria Math" w:cs="Times New Roman"/>
                <w:i/>
                <w:sz w:val="22"/>
              </w:rPr>
              <w:t>mean17sqr</w:t>
            </w:r>
          </w:p>
        </w:tc>
        <w:tc>
          <w:tcPr>
            <w:tcW w:w="6680" w:type="dxa"/>
            <w:tcBorders>
              <w:top w:val="nil"/>
              <w:left w:val="nil"/>
              <w:bottom w:val="single" w:sz="4" w:space="0" w:color="auto"/>
              <w:right w:val="single" w:sz="4" w:space="0" w:color="auto"/>
            </w:tcBorders>
            <w:vAlign w:val="center"/>
            <w:hideMark/>
          </w:tcPr>
          <w:p w:rsidR="006A7080" w:rsidRDefault="006A7080" w:rsidP="009551EB">
            <w:pPr>
              <w:pStyle w:val="TableText"/>
              <w:spacing w:line="276" w:lineRule="auto"/>
              <w:jc w:val="left"/>
              <w:rPr>
                <w:rFonts w:eastAsia="Calibri" w:cs="Times New Roman"/>
              </w:rPr>
            </w:pPr>
            <w:r>
              <w:t xml:space="preserve">The square of </w:t>
            </w:r>
            <w:r w:rsidR="009551EB" w:rsidRPr="009551EB">
              <w:rPr>
                <w:i/>
              </w:rPr>
              <w:t>mean17</w:t>
            </w:r>
          </w:p>
        </w:tc>
      </w:tr>
      <w:tr w:rsidR="006A7080" w:rsidTr="003B398F">
        <w:trPr>
          <w:trHeight w:val="360"/>
          <w:jc w:val="center"/>
        </w:trPr>
        <w:tc>
          <w:tcPr>
            <w:tcW w:w="2560" w:type="dxa"/>
            <w:tcBorders>
              <w:top w:val="nil"/>
              <w:left w:val="single" w:sz="4" w:space="0" w:color="auto"/>
              <w:bottom w:val="single" w:sz="4" w:space="0" w:color="auto"/>
              <w:right w:val="single" w:sz="4" w:space="0" w:color="auto"/>
            </w:tcBorders>
            <w:noWrap/>
            <w:vAlign w:val="center"/>
            <w:hideMark/>
          </w:tcPr>
          <w:p w:rsidR="006A7080" w:rsidRPr="004A7CF8" w:rsidRDefault="006A7080" w:rsidP="003B398F">
            <w:pPr>
              <w:pStyle w:val="TableText"/>
              <w:spacing w:line="276" w:lineRule="auto"/>
              <w:rPr>
                <w:rFonts w:ascii="Cambria Math" w:hAnsi="Cambria Math"/>
                <w:i/>
                <w:sz w:val="22"/>
              </w:rPr>
            </w:pPr>
            <w:proofErr w:type="spellStart"/>
            <w:r w:rsidRPr="004A7CF8">
              <w:rPr>
                <w:rFonts w:ascii="Cambria Math" w:hAnsi="Cambria Math"/>
                <w:i/>
                <w:sz w:val="22"/>
              </w:rPr>
              <w:t>eventday</w:t>
            </w:r>
            <w:proofErr w:type="spellEnd"/>
          </w:p>
        </w:tc>
        <w:tc>
          <w:tcPr>
            <w:tcW w:w="6680" w:type="dxa"/>
            <w:tcBorders>
              <w:top w:val="nil"/>
              <w:left w:val="nil"/>
              <w:bottom w:val="single" w:sz="4" w:space="0" w:color="auto"/>
              <w:right w:val="single" w:sz="4" w:space="0" w:color="auto"/>
            </w:tcBorders>
            <w:vAlign w:val="center"/>
            <w:hideMark/>
          </w:tcPr>
          <w:p w:rsidR="006A7080" w:rsidRDefault="006A7080" w:rsidP="003B398F">
            <w:pPr>
              <w:pStyle w:val="TableText"/>
              <w:spacing w:line="276" w:lineRule="auto"/>
              <w:jc w:val="left"/>
              <w:rPr>
                <w:rFonts w:eastAsia="Calibri" w:cs="Times New Roman"/>
              </w:rPr>
            </w:pPr>
            <w:r>
              <w:t>Binary variables indicating each event day in other DR programs, 1, ..., n, where n varies by IOU</w:t>
            </w:r>
          </w:p>
        </w:tc>
      </w:tr>
    </w:tbl>
    <w:p w:rsidR="006A7080" w:rsidRDefault="006A7080" w:rsidP="006A7080">
      <w:pPr>
        <w:pStyle w:val="BodyParaAfterTableFigure"/>
        <w:rPr>
          <w:rFonts w:eastAsia="Times New Roman" w:cs="Times New Roman"/>
          <w:color w:val="1F497D"/>
          <w:sz w:val="28"/>
          <w:szCs w:val="28"/>
        </w:rPr>
      </w:pPr>
      <w:r>
        <w:br w:type="page"/>
      </w:r>
    </w:p>
    <w:p w:rsidR="006A7080" w:rsidRDefault="006A7080" w:rsidP="001A7673">
      <w:pPr>
        <w:pStyle w:val="AppendixHeading"/>
        <w:ind w:left="2160" w:hanging="2160"/>
      </w:pPr>
      <w:bookmarkStart w:id="287" w:name="_Toc415494823"/>
      <w:r>
        <w:lastRenderedPageBreak/>
        <w:t>Ex Ante Percent Load Impact Regression Specification</w:t>
      </w:r>
      <w:bookmarkEnd w:id="287"/>
    </w:p>
    <w:p w:rsidR="006A7080" w:rsidRDefault="009551EB" w:rsidP="006A7080">
      <w:pPr>
        <w:pStyle w:val="BodyParagraph"/>
      </w:pPr>
      <w:r w:rsidRPr="009551EB">
        <w:t xml:space="preserve">This section provides the regression model specification for modeling </w:t>
      </w:r>
      <w:r>
        <w:t>percent load impacts for</w:t>
      </w:r>
      <w:r w:rsidR="00241DC7">
        <w:t> </w:t>
      </w:r>
      <w:r>
        <w:t>large CPP customers</w:t>
      </w:r>
      <w:proofErr w:type="gramStart"/>
      <w:r w:rsidRPr="009551EB">
        <w:t xml:space="preserve">. </w:t>
      </w:r>
      <w:r w:rsidR="00241DC7">
        <w:t xml:space="preserve"> </w:t>
      </w:r>
      <w:proofErr w:type="gramEnd"/>
      <w:r w:rsidRPr="009551EB">
        <w:t>The resulting model is applied to each weather scenario in the 2015 through 2025 ex ante load impact forecast.</w:t>
      </w:r>
    </w:p>
    <w:p w:rsidR="006A7080" w:rsidRDefault="001E777E" w:rsidP="009551EB">
      <w:pPr>
        <w:pStyle w:val="BodyParagraph"/>
        <w:jc w:val="center"/>
        <w:rPr>
          <w:szCs w:val="18"/>
        </w:rPr>
      </w:pPr>
      <m:oMath>
        <m:sSub>
          <m:sSubPr>
            <m:ctrlPr>
              <w:rPr>
                <w:rFonts w:ascii="Cambria Math" w:hAnsi="Cambria Math"/>
                <w:i/>
                <w:szCs w:val="18"/>
              </w:rPr>
            </m:ctrlPr>
          </m:sSubPr>
          <m:e>
            <m:r>
              <w:rPr>
                <w:rFonts w:ascii="Cambria Math" w:hAnsi="Cambria Math"/>
                <w:szCs w:val="18"/>
              </w:rPr>
              <m:t>pctimpact</m:t>
            </m:r>
          </m:e>
          <m:sub>
            <m:r>
              <w:rPr>
                <w:rFonts w:ascii="Cambria Math" w:hAnsi="Cambria Math"/>
                <w:szCs w:val="18"/>
              </w:rPr>
              <m:t>lhd</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a</m:t>
            </m:r>
          </m:e>
          <m:sub>
            <m:r>
              <w:rPr>
                <w:rFonts w:ascii="Cambria Math" w:hAnsi="Cambria Math"/>
                <w:szCs w:val="18"/>
              </w:rPr>
              <m:t>l</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b</m:t>
            </m:r>
          </m:e>
          <m:sub>
            <m:r>
              <w:rPr>
                <w:rFonts w:ascii="Cambria Math" w:hAnsi="Cambria Math"/>
                <w:szCs w:val="18"/>
              </w:rPr>
              <m:t>l</m:t>
            </m:r>
          </m:sub>
        </m:sSub>
        <m:r>
          <w:rPr>
            <w:rFonts w:ascii="Cambria Math" w:hAnsi="Cambria Math"/>
            <w:szCs w:val="18"/>
          </w:rPr>
          <m:t>×</m:t>
        </m:r>
        <m:sSub>
          <m:sSubPr>
            <m:ctrlPr>
              <w:rPr>
                <w:rFonts w:ascii="Cambria Math" w:hAnsi="Cambria Math"/>
                <w:i/>
                <w:szCs w:val="18"/>
              </w:rPr>
            </m:ctrlPr>
          </m:sSubPr>
          <m:e>
            <m:r>
              <w:rPr>
                <w:rFonts w:ascii="Cambria Math" w:hAnsi="Cambria Math"/>
                <w:szCs w:val="18"/>
              </w:rPr>
              <m:t>mean17</m:t>
            </m:r>
          </m:e>
          <m:sub>
            <m:r>
              <w:rPr>
                <w:rFonts w:ascii="Cambria Math" w:hAnsi="Cambria Math"/>
                <w:szCs w:val="18"/>
              </w:rPr>
              <m:t>lhd</m:t>
            </m:r>
          </m:sub>
        </m:sSub>
        <m:r>
          <w:rPr>
            <w:rFonts w:ascii="Cambria Math" w:hAnsi="Cambria Math"/>
            <w:szCs w:val="18"/>
          </w:rPr>
          <m:t xml:space="preserve">+ </m:t>
        </m:r>
        <m:sSub>
          <m:sSubPr>
            <m:ctrlPr>
              <w:rPr>
                <w:rFonts w:ascii="Cambria Math" w:hAnsi="Cambria Math"/>
                <w:i/>
                <w:szCs w:val="18"/>
              </w:rPr>
            </m:ctrlPr>
          </m:sSubPr>
          <m:e>
            <m:r>
              <w:rPr>
                <w:rFonts w:ascii="Cambria Math" w:hAnsi="Cambria Math"/>
                <w:szCs w:val="18"/>
              </w:rPr>
              <m:t>e</m:t>
            </m:r>
          </m:e>
          <m:sub>
            <m:r>
              <w:rPr>
                <w:rFonts w:ascii="Cambria Math" w:hAnsi="Cambria Math"/>
                <w:szCs w:val="18"/>
              </w:rPr>
              <m:t>lhd</m:t>
            </m:r>
          </m:sub>
        </m:sSub>
      </m:oMath>
      <w:r w:rsidR="006A7080">
        <w:rPr>
          <w:szCs w:val="18"/>
        </w:rPr>
        <w:t xml:space="preserve"> </w:t>
      </w:r>
      <m:oMath>
        <m:r>
          <m:rPr>
            <m:sty m:val="p"/>
          </m:rPr>
          <w:rPr>
            <w:rFonts w:ascii="Cambria Math" w:hAnsi="Cambria Math"/>
            <w:szCs w:val="18"/>
          </w:rPr>
          <m:t>for</m:t>
        </m:r>
      </m:oMath>
      <w:r w:rsidR="006A7080">
        <w:rPr>
          <w:rFonts w:ascii="Cambria Math" w:hAnsi="Cambria Math"/>
          <w:szCs w:val="18"/>
        </w:rPr>
        <w:t xml:space="preserve"> </w:t>
      </w:r>
      <m:oMath>
        <m:r>
          <w:rPr>
            <w:rFonts w:ascii="Cambria Math" w:hAnsi="Cambria Math"/>
            <w:szCs w:val="18"/>
          </w:rPr>
          <m:t xml:space="preserve">l∈ </m:t>
        </m:r>
        <m:d>
          <m:dPr>
            <m:begChr m:val="{"/>
            <m:endChr m:val="}"/>
            <m:ctrlPr>
              <w:rPr>
                <w:rFonts w:ascii="Cambria Math" w:hAnsi="Cambria Math"/>
                <w:i/>
                <w:szCs w:val="18"/>
              </w:rPr>
            </m:ctrlPr>
          </m:dPr>
          <m:e>
            <m:r>
              <w:rPr>
                <w:rFonts w:ascii="Cambria Math" w:hAnsi="Cambria Math"/>
                <w:szCs w:val="18"/>
              </w:rPr>
              <m:t>1, …,</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l</m:t>
                </m:r>
              </m:sub>
            </m:sSub>
          </m:e>
        </m:d>
        <m:r>
          <w:rPr>
            <w:rFonts w:ascii="Cambria Math" w:hAnsi="Cambria Math"/>
            <w:szCs w:val="18"/>
          </w:rPr>
          <m:t>, h</m:t>
        </m:r>
        <m:r>
          <m:rPr>
            <m:sty m:val="p"/>
          </m:rPr>
          <w:rPr>
            <w:rFonts w:ascii="Cambria Math" w:hAnsi="Cambria Math"/>
            <w:szCs w:val="18"/>
          </w:rPr>
          <m:t>∈</m:t>
        </m:r>
        <m:d>
          <m:dPr>
            <m:begChr m:val="{"/>
            <m:endChr m:val="}"/>
            <m:ctrlPr>
              <w:rPr>
                <w:rFonts w:ascii="Cambria Math" w:hAnsi="Cambria Math"/>
                <w:szCs w:val="18"/>
              </w:rPr>
            </m:ctrlPr>
          </m:dPr>
          <m:e>
            <m:r>
              <m:rPr>
                <m:sty m:val="p"/>
              </m:rPr>
              <w:rPr>
                <w:rFonts w:ascii="Cambria Math" w:hAnsi="Cambria Math"/>
                <w:szCs w:val="18"/>
              </w:rPr>
              <m:t>1, 2, 3 … 24</m:t>
            </m:r>
          </m:e>
        </m:d>
        <m:r>
          <w:rPr>
            <w:rFonts w:ascii="Cambria Math" w:hAnsi="Cambria Math"/>
            <w:szCs w:val="18"/>
          </w:rPr>
          <m:t xml:space="preserve"> </m:t>
        </m:r>
        <m:r>
          <m:rPr>
            <m:sty m:val="p"/>
          </m:rPr>
          <w:rPr>
            <w:rFonts w:ascii="Cambria Math" w:hAnsi="Cambria Math"/>
            <w:szCs w:val="18"/>
          </w:rPr>
          <m:t>and</m:t>
        </m:r>
        <m:r>
          <w:rPr>
            <w:rFonts w:ascii="Cambria Math" w:hAnsi="Cambria Math"/>
            <w:szCs w:val="18"/>
          </w:rPr>
          <m:t xml:space="preserve"> d∈ </m:t>
        </m:r>
        <m:d>
          <m:dPr>
            <m:begChr m:val="{"/>
            <m:endChr m:val="}"/>
            <m:ctrlPr>
              <w:rPr>
                <w:rFonts w:ascii="Cambria Math" w:hAnsi="Cambria Math"/>
                <w:i/>
                <w:szCs w:val="18"/>
              </w:rPr>
            </m:ctrlPr>
          </m:dPr>
          <m:e>
            <m:r>
              <w:rPr>
                <w:rFonts w:ascii="Cambria Math" w:hAnsi="Cambria Math"/>
                <w:szCs w:val="18"/>
              </w:rPr>
              <m:t>1,…,</m:t>
            </m:r>
            <m:sSub>
              <m:sSubPr>
                <m:ctrlPr>
                  <w:rPr>
                    <w:rFonts w:ascii="Cambria Math" w:hAnsi="Cambria Math"/>
                    <w:i/>
                    <w:szCs w:val="18"/>
                  </w:rPr>
                </m:ctrlPr>
              </m:sSubPr>
              <m:e>
                <m:r>
                  <w:rPr>
                    <w:rFonts w:ascii="Cambria Math" w:hAnsi="Cambria Math"/>
                    <w:szCs w:val="18"/>
                  </w:rPr>
                  <m:t>n</m:t>
                </m:r>
              </m:e>
              <m:sub>
                <m:r>
                  <w:rPr>
                    <w:rFonts w:ascii="Cambria Math" w:hAnsi="Cambria Math"/>
                    <w:szCs w:val="18"/>
                  </w:rPr>
                  <m:t>d</m:t>
                </m:r>
              </m:sub>
            </m:sSub>
          </m:e>
        </m:d>
      </m:oMath>
    </w:p>
    <w:tbl>
      <w:tblPr>
        <w:tblStyle w:val="TableGrid"/>
        <w:tblpPr w:leftFromText="180" w:rightFromText="180" w:vertAnchor="text" w:horzAnchor="margin" w:tblpXSpec="right" w:tblpY="2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2"/>
        <w:gridCol w:w="8159"/>
      </w:tblGrid>
      <w:tr w:rsidR="006A7080" w:rsidRPr="00B95AB2" w:rsidTr="009551EB">
        <w:trPr>
          <w:trHeight w:val="302"/>
        </w:trPr>
        <w:tc>
          <w:tcPr>
            <w:tcW w:w="1182" w:type="dxa"/>
            <w:tcBorders>
              <w:right w:val="single" w:sz="4" w:space="0" w:color="FFFFFF" w:themeColor="background1"/>
            </w:tcBorders>
            <w:shd w:val="clear" w:color="auto" w:fill="0070CD"/>
          </w:tcPr>
          <w:p w:rsidR="006A7080" w:rsidRPr="0047139E" w:rsidRDefault="006A7080" w:rsidP="003B398F">
            <w:pPr>
              <w:pStyle w:val="TableHeader"/>
            </w:pPr>
            <w:r w:rsidRPr="0047139E">
              <w:t>Variable</w:t>
            </w:r>
          </w:p>
        </w:tc>
        <w:tc>
          <w:tcPr>
            <w:tcW w:w="8159" w:type="dxa"/>
            <w:tcBorders>
              <w:left w:val="single" w:sz="4" w:space="0" w:color="FFFFFF" w:themeColor="background1"/>
            </w:tcBorders>
            <w:shd w:val="clear" w:color="auto" w:fill="0070CD"/>
          </w:tcPr>
          <w:p w:rsidR="006A7080" w:rsidRPr="0047139E" w:rsidRDefault="006A7080" w:rsidP="003B398F">
            <w:pPr>
              <w:pStyle w:val="TableHeader"/>
            </w:pPr>
            <w:r>
              <w:t>Description</w:t>
            </w:r>
          </w:p>
        </w:tc>
      </w:tr>
      <w:tr w:rsidR="006A7080" w:rsidTr="009551EB">
        <w:trPr>
          <w:trHeight w:val="302"/>
        </w:trPr>
        <w:tc>
          <w:tcPr>
            <w:tcW w:w="1182" w:type="dxa"/>
            <w:vAlign w:val="center"/>
          </w:tcPr>
          <w:p w:rsidR="006A7080" w:rsidRDefault="006A7080" w:rsidP="008B40C6">
            <w:pPr>
              <w:pStyle w:val="BodyParagraph"/>
              <w:spacing w:after="0"/>
              <w:jc w:val="center"/>
              <w:rPr>
                <w:rFonts w:ascii="Times New Roman" w:hAnsi="Times New Roman" w:cs="Times New Roman"/>
                <w:i/>
                <w:szCs w:val="18"/>
              </w:rPr>
            </w:pPr>
            <w:proofErr w:type="spellStart"/>
            <w:r>
              <w:rPr>
                <w:rFonts w:ascii="Times New Roman" w:hAnsi="Times New Roman" w:cs="Times New Roman"/>
                <w:i/>
                <w:szCs w:val="18"/>
              </w:rPr>
              <w:t>l,</w:t>
            </w:r>
            <w:r w:rsidR="008B40C6">
              <w:rPr>
                <w:rFonts w:ascii="Times New Roman" w:hAnsi="Times New Roman" w:cs="Times New Roman"/>
                <w:i/>
                <w:szCs w:val="18"/>
              </w:rPr>
              <w:t>h,</w:t>
            </w:r>
            <w:r>
              <w:rPr>
                <w:rFonts w:ascii="Times New Roman" w:hAnsi="Times New Roman" w:cs="Times New Roman"/>
                <w:i/>
                <w:szCs w:val="18"/>
              </w:rPr>
              <w:t>d</w:t>
            </w:r>
            <w:proofErr w:type="spellEnd"/>
          </w:p>
        </w:tc>
        <w:tc>
          <w:tcPr>
            <w:tcW w:w="8159" w:type="dxa"/>
            <w:vAlign w:val="center"/>
          </w:tcPr>
          <w:p w:rsidR="006A7080" w:rsidRDefault="009551EB" w:rsidP="003B398F">
            <w:pPr>
              <w:pStyle w:val="TableText"/>
              <w:jc w:val="left"/>
            </w:pPr>
            <w:r>
              <w:t>I</w:t>
            </w:r>
            <w:r w:rsidR="006A7080">
              <w:t xml:space="preserve">ndex for segment (LCA or industry, depending on utility), </w:t>
            </w:r>
            <w:r w:rsidR="008B40C6">
              <w:t xml:space="preserve">index for hour </w:t>
            </w:r>
            <w:r>
              <w:t xml:space="preserve">and </w:t>
            </w:r>
            <w:r w:rsidR="006A7080">
              <w:t>index for event day</w:t>
            </w:r>
          </w:p>
        </w:tc>
      </w:tr>
      <w:tr w:rsidR="006A7080" w:rsidTr="009551EB">
        <w:trPr>
          <w:trHeight w:val="302"/>
        </w:trPr>
        <w:tc>
          <w:tcPr>
            <w:tcW w:w="1182" w:type="dxa"/>
            <w:vAlign w:val="center"/>
          </w:tcPr>
          <w:p w:rsidR="006A7080" w:rsidRPr="0093351B" w:rsidRDefault="006A7080" w:rsidP="003B398F">
            <w:pPr>
              <w:pStyle w:val="BodyParagraph"/>
              <w:spacing w:after="0"/>
              <w:jc w:val="center"/>
              <w:rPr>
                <w:rFonts w:ascii="Times New Roman" w:hAnsi="Times New Roman" w:cs="Times New Roman"/>
                <w:i/>
                <w:szCs w:val="18"/>
              </w:rPr>
            </w:pPr>
            <w:proofErr w:type="spellStart"/>
            <w:r>
              <w:rPr>
                <w:rFonts w:ascii="Times New Roman" w:hAnsi="Times New Roman" w:cs="Times New Roman"/>
                <w:i/>
                <w:szCs w:val="18"/>
              </w:rPr>
              <w:t>pctimpact</w:t>
            </w:r>
            <w:proofErr w:type="spellEnd"/>
          </w:p>
        </w:tc>
        <w:tc>
          <w:tcPr>
            <w:tcW w:w="8159" w:type="dxa"/>
            <w:vAlign w:val="center"/>
          </w:tcPr>
          <w:p w:rsidR="006A7080" w:rsidRPr="0047139E" w:rsidRDefault="009551EB" w:rsidP="009551EB">
            <w:pPr>
              <w:pStyle w:val="TableText"/>
              <w:jc w:val="left"/>
            </w:pPr>
            <w:r>
              <w:t>P</w:t>
            </w:r>
            <w:r w:rsidR="006A7080">
              <w:t xml:space="preserve">er customer ex post load </w:t>
            </w:r>
            <w:r>
              <w:t xml:space="preserve">percent </w:t>
            </w:r>
            <w:r w:rsidR="006A7080">
              <w:t>impact for each</w:t>
            </w:r>
            <w:r w:rsidR="008B40C6">
              <w:t xml:space="preserve"> hour of each</w:t>
            </w:r>
            <w:r w:rsidR="006A7080">
              <w:t xml:space="preserve"> event day</w:t>
            </w:r>
          </w:p>
        </w:tc>
      </w:tr>
      <w:tr w:rsidR="006A7080" w:rsidTr="009551EB">
        <w:trPr>
          <w:trHeight w:val="302"/>
        </w:trPr>
        <w:tc>
          <w:tcPr>
            <w:tcW w:w="1182" w:type="dxa"/>
            <w:vAlign w:val="center"/>
          </w:tcPr>
          <w:p w:rsidR="006A7080" w:rsidRPr="0093351B" w:rsidRDefault="006A7080" w:rsidP="003B398F">
            <w:pPr>
              <w:pStyle w:val="BodyParagraph"/>
              <w:spacing w:after="0"/>
              <w:jc w:val="center"/>
              <w:rPr>
                <w:rFonts w:ascii="Times New Roman" w:hAnsi="Times New Roman" w:cs="Times New Roman"/>
                <w:i/>
                <w:szCs w:val="18"/>
              </w:rPr>
            </w:pPr>
            <w:r w:rsidRPr="0093351B">
              <w:rPr>
                <w:rFonts w:ascii="Times New Roman" w:hAnsi="Times New Roman" w:cs="Times New Roman"/>
                <w:i/>
                <w:szCs w:val="18"/>
              </w:rPr>
              <w:t>a</w:t>
            </w:r>
          </w:p>
        </w:tc>
        <w:tc>
          <w:tcPr>
            <w:tcW w:w="8159" w:type="dxa"/>
            <w:vAlign w:val="center"/>
          </w:tcPr>
          <w:p w:rsidR="006A7080" w:rsidRPr="0047139E" w:rsidRDefault="009551EB" w:rsidP="003B398F">
            <w:pPr>
              <w:pStyle w:val="TableText"/>
              <w:jc w:val="left"/>
            </w:pPr>
            <w:r>
              <w:t>E</w:t>
            </w:r>
            <w:r w:rsidR="006A7080">
              <w:t>stimated constant</w:t>
            </w:r>
          </w:p>
        </w:tc>
      </w:tr>
      <w:tr w:rsidR="006A7080" w:rsidTr="009551EB">
        <w:trPr>
          <w:trHeight w:val="302"/>
        </w:trPr>
        <w:tc>
          <w:tcPr>
            <w:tcW w:w="1182" w:type="dxa"/>
            <w:vAlign w:val="center"/>
          </w:tcPr>
          <w:p w:rsidR="006A7080" w:rsidRPr="0093351B" w:rsidRDefault="006A7080" w:rsidP="003B398F">
            <w:pPr>
              <w:pStyle w:val="BodyParagraph"/>
              <w:spacing w:after="0"/>
              <w:jc w:val="center"/>
              <w:rPr>
                <w:rFonts w:ascii="Times New Roman" w:hAnsi="Times New Roman" w:cs="Times New Roman"/>
                <w:i/>
                <w:szCs w:val="18"/>
              </w:rPr>
            </w:pPr>
            <w:r w:rsidRPr="0093351B">
              <w:rPr>
                <w:rFonts w:ascii="Times New Roman" w:hAnsi="Times New Roman" w:cs="Times New Roman"/>
                <w:i/>
                <w:szCs w:val="18"/>
              </w:rPr>
              <w:t>b</w:t>
            </w:r>
          </w:p>
        </w:tc>
        <w:tc>
          <w:tcPr>
            <w:tcW w:w="8159" w:type="dxa"/>
            <w:vAlign w:val="center"/>
          </w:tcPr>
          <w:p w:rsidR="006A7080" w:rsidRPr="0047139E" w:rsidRDefault="009551EB" w:rsidP="003B398F">
            <w:pPr>
              <w:pStyle w:val="TableText"/>
              <w:jc w:val="left"/>
            </w:pPr>
            <w:r>
              <w:t>E</w:t>
            </w:r>
            <w:r w:rsidR="006A7080">
              <w:t>stimated parameter coefficient</w:t>
            </w:r>
          </w:p>
        </w:tc>
      </w:tr>
      <w:tr w:rsidR="006A7080" w:rsidTr="009551EB">
        <w:trPr>
          <w:trHeight w:val="302"/>
        </w:trPr>
        <w:tc>
          <w:tcPr>
            <w:tcW w:w="1182" w:type="dxa"/>
            <w:vAlign w:val="center"/>
          </w:tcPr>
          <w:p w:rsidR="006A7080" w:rsidRPr="0093351B" w:rsidRDefault="006A7080" w:rsidP="003B398F">
            <w:pPr>
              <w:pStyle w:val="BodyParagraph"/>
              <w:spacing w:after="0"/>
              <w:jc w:val="center"/>
              <w:rPr>
                <w:rFonts w:ascii="Times New Roman" w:hAnsi="Times New Roman" w:cs="Times New Roman"/>
                <w:i/>
                <w:szCs w:val="18"/>
              </w:rPr>
            </w:pPr>
            <w:r>
              <w:rPr>
                <w:rFonts w:ascii="Times New Roman" w:hAnsi="Times New Roman" w:cs="Times New Roman"/>
                <w:i/>
                <w:szCs w:val="18"/>
              </w:rPr>
              <w:t>mean17</w:t>
            </w:r>
          </w:p>
        </w:tc>
        <w:tc>
          <w:tcPr>
            <w:tcW w:w="8159" w:type="dxa"/>
            <w:vAlign w:val="center"/>
          </w:tcPr>
          <w:p w:rsidR="006A7080" w:rsidRPr="0047139E" w:rsidRDefault="009551EB" w:rsidP="003B398F">
            <w:pPr>
              <w:pStyle w:val="TableText"/>
              <w:jc w:val="left"/>
            </w:pPr>
            <w:r>
              <w:t>D</w:t>
            </w:r>
            <w:r w:rsidRPr="009551EB">
              <w:t xml:space="preserve">aily average </w:t>
            </w:r>
            <w:r>
              <w:t>temperature from midnight to 5 PM</w:t>
            </w:r>
            <w:r w:rsidRPr="009551EB">
              <w:t>, which is used to capture heat buildup in the daylight hours</w:t>
            </w:r>
          </w:p>
        </w:tc>
      </w:tr>
      <w:tr w:rsidR="006A7080" w:rsidTr="009551EB">
        <w:trPr>
          <w:trHeight w:val="287"/>
        </w:trPr>
        <w:tc>
          <w:tcPr>
            <w:tcW w:w="1182" w:type="dxa"/>
            <w:vAlign w:val="center"/>
          </w:tcPr>
          <w:p w:rsidR="006A7080" w:rsidRPr="0093351B" w:rsidRDefault="006A7080" w:rsidP="003B398F">
            <w:pPr>
              <w:pStyle w:val="BodyParagraph"/>
              <w:spacing w:after="0"/>
              <w:jc w:val="center"/>
              <w:rPr>
                <w:rFonts w:ascii="Times New Roman" w:hAnsi="Times New Roman" w:cs="Times New Roman"/>
                <w:i/>
                <w:szCs w:val="18"/>
              </w:rPr>
            </w:pPr>
            <w:r>
              <w:rPr>
                <w:rFonts w:ascii="Times New Roman" w:hAnsi="Times New Roman" w:cs="Times New Roman"/>
                <w:i/>
                <w:szCs w:val="18"/>
              </w:rPr>
              <w:t>e</w:t>
            </w:r>
          </w:p>
        </w:tc>
        <w:tc>
          <w:tcPr>
            <w:tcW w:w="8159" w:type="dxa"/>
            <w:vAlign w:val="center"/>
          </w:tcPr>
          <w:p w:rsidR="006A7080" w:rsidRPr="0047139E" w:rsidRDefault="009551EB" w:rsidP="003F5210">
            <w:pPr>
              <w:pStyle w:val="TableText"/>
              <w:jc w:val="left"/>
            </w:pPr>
            <w:r>
              <w:t>E</w:t>
            </w:r>
            <w:r w:rsidR="006A7080">
              <w:t>rror term, assumed to be mean zero and uncorrelated with any of the independent</w:t>
            </w:r>
            <w:r w:rsidR="00241DC7">
              <w:t> </w:t>
            </w:r>
            <w:r w:rsidR="006A7080">
              <w:t>variables</w:t>
            </w:r>
          </w:p>
        </w:tc>
      </w:tr>
    </w:tbl>
    <w:p w:rsidR="001B0ACB" w:rsidRDefault="001B0ACB" w:rsidP="0036226B">
      <w:pPr>
        <w:pStyle w:val="BodyParagraph"/>
      </w:pPr>
    </w:p>
    <w:sectPr w:rsidR="001B0ACB" w:rsidSect="00B24EF7">
      <w:headerReference w:type="default" r:id="rId10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777E" w:rsidRDefault="001E777E" w:rsidP="00DB35F9">
      <w:pPr>
        <w:spacing w:after="0" w:line="240" w:lineRule="auto"/>
      </w:pPr>
      <w:r>
        <w:separator/>
      </w:r>
    </w:p>
  </w:endnote>
  <w:endnote w:type="continuationSeparator" w:id="0">
    <w:p w:rsidR="001E777E" w:rsidRDefault="001E777E" w:rsidP="00DB3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Bold">
    <w:panose1 w:val="020B0704020202020204"/>
    <w:charset w:val="00"/>
    <w:family w:val="roman"/>
    <w:notTrueType/>
    <w:pitch w:val="default"/>
  </w:font>
  <w:font w:name="Palatino">
    <w:panose1 w:val="00000000000000000000"/>
    <w:charset w:val="00"/>
    <w:family w:val="roman"/>
    <w:notTrueType/>
    <w:pitch w:val="variable"/>
    <w:sig w:usb0="00000003" w:usb1="00000000" w:usb2="00000000" w:usb3="00000000" w:csb0="00000001"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Default="00F75CE5" w:rsidP="002C5BF9">
    <w:pPr>
      <w:pStyle w:val="Footer"/>
      <w:jc w:val="right"/>
      <w:rPr>
        <w:rFonts w:ascii="TitilliumText22L Xb" w:eastAsiaTheme="minorHAnsi" w:hAnsi="TitilliumText22L Xb" w:cstheme="minorBidi"/>
        <w:szCs w:val="22"/>
      </w:rPr>
    </w:pPr>
    <w:r>
      <w:rPr>
        <w:rFonts w:ascii="TitilliumText22L Xb" w:hAnsi="TitilliumText22L Xb"/>
        <w:noProof/>
      </w:rPr>
      <w:drawing>
        <wp:anchor distT="0" distB="0" distL="114300" distR="114300" simplePos="0" relativeHeight="251673600" behindDoc="0" locked="0" layoutInCell="1" allowOverlap="1" wp14:anchorId="14CE7BC4" wp14:editId="506EDC34">
          <wp:simplePos x="0" y="0"/>
          <wp:positionH relativeFrom="column">
            <wp:posOffset>-135496</wp:posOffset>
          </wp:positionH>
          <wp:positionV relativeFrom="paragraph">
            <wp:posOffset>-118682</wp:posOffset>
          </wp:positionV>
          <wp:extent cx="2080206" cy="425002"/>
          <wp:effectExtent l="19050" t="0" r="0" b="0"/>
          <wp:wrapNone/>
          <wp:docPr id="51" name="Picture 5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rPr>
        <w:id w:val="1694266858"/>
        <w:docPartObj>
          <w:docPartGallery w:val="Page Numbers (Bottom of Page)"/>
          <w:docPartUnique/>
        </w:docPartObj>
      </w:sdtPr>
      <w:sdtEndPr/>
      <w:sdtContent>
        <w:r w:rsidRPr="00344C3B">
          <w:rPr>
            <w:rFonts w:ascii="Arial Black" w:hAnsi="Arial Black"/>
            <w:color w:val="808080" w:themeColor="background1" w:themeShade="80"/>
          </w:rPr>
          <w:fldChar w:fldCharType="begin"/>
        </w:r>
        <w:r w:rsidRPr="00344C3B">
          <w:rPr>
            <w:rFonts w:ascii="Arial Black" w:hAnsi="Arial Black"/>
            <w:color w:val="808080" w:themeColor="background1" w:themeShade="80"/>
          </w:rPr>
          <w:instrText xml:space="preserve"> PAGE   \* MERGEFORMAT </w:instrText>
        </w:r>
        <w:r w:rsidRPr="00344C3B">
          <w:rPr>
            <w:rFonts w:ascii="Arial Black" w:hAnsi="Arial Black"/>
            <w:color w:val="808080" w:themeColor="background1" w:themeShade="80"/>
          </w:rPr>
          <w:fldChar w:fldCharType="separate"/>
        </w:r>
        <w:r>
          <w:rPr>
            <w:rFonts w:ascii="Arial Black" w:hAnsi="Arial Black"/>
            <w:noProof/>
            <w:color w:val="808080" w:themeColor="background1" w:themeShade="80"/>
          </w:rPr>
          <w:t>6</w:t>
        </w:r>
        <w:r w:rsidRPr="00344C3B">
          <w:rPr>
            <w:rFonts w:ascii="Arial Black" w:hAnsi="Arial Black"/>
            <w:color w:val="808080" w:themeColor="background1" w:themeShade="80"/>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Default="00F75CE5" w:rsidP="00DB35F9">
    <w:pPr>
      <w:pStyle w:val="Footer"/>
      <w:jc w:val="right"/>
    </w:pPr>
  </w:p>
  <w:p w:rsidR="00F75CE5" w:rsidRDefault="00F75CE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321715" w:rsidRDefault="00F75CE5" w:rsidP="00B50663">
    <w:pPr>
      <w:pStyle w:val="Footer"/>
      <w:jc w:val="right"/>
      <w:rPr>
        <w:sz w:val="20"/>
        <w:szCs w:val="20"/>
      </w:rPr>
    </w:pPr>
  </w:p>
  <w:p w:rsidR="00F75CE5" w:rsidRDefault="00F75CE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437603195"/>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61824" behindDoc="1" locked="0" layoutInCell="1" allowOverlap="1" wp14:anchorId="2E1E6138" wp14:editId="5E846B4C">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4</w:t>
        </w:r>
        <w:r w:rsidRPr="00C566BC">
          <w:rPr>
            <w:rFonts w:asciiTheme="minorHAnsi" w:hAnsiTheme="minorHAnsi" w:cstheme="minorHAnsi"/>
            <w:color w:val="808080" w:themeColor="background1" w:themeShade="8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321715" w:rsidRDefault="00F75CE5" w:rsidP="00B50663">
    <w:pPr>
      <w:pStyle w:val="Footer"/>
      <w:jc w:val="right"/>
      <w:rPr>
        <w:sz w:val="20"/>
        <w:szCs w:val="20"/>
      </w:rPr>
    </w:pPr>
    <w:r w:rsidRPr="009D111C">
      <w:rPr>
        <w:rStyle w:val="PageNumber"/>
        <w:sz w:val="20"/>
        <w:szCs w:val="20"/>
      </w:rPr>
      <w:fldChar w:fldCharType="begin"/>
    </w:r>
    <w:r w:rsidRPr="009D111C">
      <w:rPr>
        <w:rStyle w:val="PageNumber"/>
        <w:sz w:val="20"/>
        <w:szCs w:val="20"/>
      </w:rPr>
      <w:instrText xml:space="preserve">PAGE  </w:instrText>
    </w:r>
    <w:r w:rsidRPr="009D111C">
      <w:rPr>
        <w:rStyle w:val="PageNumber"/>
        <w:sz w:val="20"/>
        <w:szCs w:val="20"/>
      </w:rPr>
      <w:fldChar w:fldCharType="separate"/>
    </w:r>
    <w:r>
      <w:rPr>
        <w:rStyle w:val="PageNumber"/>
        <w:noProof/>
        <w:sz w:val="20"/>
        <w:szCs w:val="20"/>
      </w:rPr>
      <w:t>58</w:t>
    </w:r>
    <w:r w:rsidRPr="009D111C">
      <w:rPr>
        <w:rStyle w:val="PageNumber"/>
        <w:sz w:val="20"/>
        <w:szCs w:val="20"/>
      </w:rPr>
      <w:fldChar w:fldCharType="end"/>
    </w:r>
  </w:p>
  <w:p w:rsidR="00F75CE5" w:rsidRDefault="00F75CE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14230918"/>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7152" behindDoc="1" locked="0" layoutInCell="1" allowOverlap="1" wp14:anchorId="003A6ED9" wp14:editId="5CBB1B59">
              <wp:simplePos x="0" y="0"/>
              <wp:positionH relativeFrom="column">
                <wp:posOffset>-154216</wp:posOffset>
              </wp:positionH>
              <wp:positionV relativeFrom="paragraph">
                <wp:posOffset>-29003</wp:posOffset>
              </wp:positionV>
              <wp:extent cx="1020445" cy="370840"/>
              <wp:effectExtent l="0" t="0" r="0" b="0"/>
              <wp:wrapNone/>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31</w:t>
        </w:r>
        <w:r w:rsidRPr="00C566BC">
          <w:rPr>
            <w:rFonts w:asciiTheme="minorHAnsi" w:hAnsiTheme="minorHAnsi" w:cstheme="minorHAnsi"/>
            <w:color w:val="808080" w:themeColor="background1" w:themeShade="8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202290754"/>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5104" behindDoc="1" locked="0" layoutInCell="1" allowOverlap="1" wp14:anchorId="260178EC" wp14:editId="2188BF9E">
              <wp:simplePos x="0" y="0"/>
              <wp:positionH relativeFrom="column">
                <wp:posOffset>-154216</wp:posOffset>
              </wp:positionH>
              <wp:positionV relativeFrom="paragraph">
                <wp:posOffset>-29003</wp:posOffset>
              </wp:positionV>
              <wp:extent cx="1020445" cy="370840"/>
              <wp:effectExtent l="0" t="0" r="0" b="0"/>
              <wp:wrapNone/>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34</w:t>
        </w:r>
        <w:r w:rsidRPr="00C566BC">
          <w:rPr>
            <w:rFonts w:asciiTheme="minorHAnsi" w:hAnsiTheme="minorHAnsi" w:cstheme="minorHAnsi"/>
            <w:color w:val="808080" w:themeColor="background1" w:themeShade="80"/>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33690438"/>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01248" behindDoc="1" locked="0" layoutInCell="1" allowOverlap="1" wp14:anchorId="46D8D03D" wp14:editId="06B98C21">
              <wp:simplePos x="0" y="0"/>
              <wp:positionH relativeFrom="column">
                <wp:posOffset>-154216</wp:posOffset>
              </wp:positionH>
              <wp:positionV relativeFrom="paragraph">
                <wp:posOffset>-29003</wp:posOffset>
              </wp:positionV>
              <wp:extent cx="1020445" cy="370840"/>
              <wp:effectExtent l="0" t="0" r="0" b="0"/>
              <wp:wrapNone/>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35</w:t>
        </w:r>
        <w:r w:rsidRPr="00C566BC">
          <w:rPr>
            <w:rFonts w:asciiTheme="minorHAnsi" w:hAnsiTheme="minorHAnsi" w:cstheme="minorHAnsi"/>
            <w:color w:val="808080" w:themeColor="background1" w:themeShade="8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658735134"/>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9200" behindDoc="1" locked="0" layoutInCell="1" allowOverlap="1" wp14:anchorId="603E3479" wp14:editId="4D6FE258">
              <wp:simplePos x="0" y="0"/>
              <wp:positionH relativeFrom="column">
                <wp:posOffset>-154216</wp:posOffset>
              </wp:positionH>
              <wp:positionV relativeFrom="paragraph">
                <wp:posOffset>-29003</wp:posOffset>
              </wp:positionV>
              <wp:extent cx="1020445" cy="370840"/>
              <wp:effectExtent l="0" t="0" r="0" b="0"/>
              <wp:wrapNone/>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49</w:t>
        </w:r>
        <w:r w:rsidRPr="00C566BC">
          <w:rPr>
            <w:rFonts w:asciiTheme="minorHAnsi" w:hAnsiTheme="minorHAnsi" w:cstheme="minorHAnsi"/>
            <w:color w:val="808080" w:themeColor="background1" w:themeShade="80"/>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389456520"/>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05344" behindDoc="1" locked="0" layoutInCell="1" allowOverlap="1" wp14:anchorId="3C91B2CB" wp14:editId="3C84D7AF">
              <wp:simplePos x="0" y="0"/>
              <wp:positionH relativeFrom="column">
                <wp:posOffset>-154216</wp:posOffset>
              </wp:positionH>
              <wp:positionV relativeFrom="paragraph">
                <wp:posOffset>-29003</wp:posOffset>
              </wp:positionV>
              <wp:extent cx="1020445" cy="370840"/>
              <wp:effectExtent l="0" t="0" r="0" b="0"/>
              <wp:wrapNone/>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51</w:t>
        </w:r>
        <w:r w:rsidRPr="00C566BC">
          <w:rPr>
            <w:rFonts w:asciiTheme="minorHAnsi" w:hAnsiTheme="minorHAnsi" w:cstheme="minorHAnsi"/>
            <w:color w:val="808080" w:themeColor="background1" w:themeShade="80"/>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29371309"/>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03296" behindDoc="1" locked="0" layoutInCell="1" allowOverlap="1" wp14:anchorId="1094E374" wp14:editId="3AE68BB8">
              <wp:simplePos x="0" y="0"/>
              <wp:positionH relativeFrom="column">
                <wp:posOffset>-154216</wp:posOffset>
              </wp:positionH>
              <wp:positionV relativeFrom="paragraph">
                <wp:posOffset>-29003</wp:posOffset>
              </wp:positionV>
              <wp:extent cx="1020445" cy="37084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57</w:t>
        </w:r>
        <w:r w:rsidRPr="00C566BC">
          <w:rPr>
            <w:rFonts w:asciiTheme="minorHAnsi" w:hAnsiTheme="minorHAnsi" w:cstheme="minorHAnsi"/>
            <w:color w:val="808080" w:themeColor="background1" w:themeShade="80"/>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564413421"/>
      <w:docPartObj>
        <w:docPartGallery w:val="Page Numbers (Bottom of Page)"/>
        <w:docPartUnique/>
      </w:docPartObj>
    </w:sdtPr>
    <w:sdtEndPr/>
    <w:sdtContent>
      <w:p w:rsidR="00F75CE5" w:rsidRPr="000E73DD" w:rsidRDefault="00F75CE5" w:rsidP="008028DC">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4016" behindDoc="1" locked="0" layoutInCell="1" allowOverlap="1" wp14:anchorId="5C569543" wp14:editId="00A90868">
              <wp:simplePos x="0" y="0"/>
              <wp:positionH relativeFrom="column">
                <wp:posOffset>-154216</wp:posOffset>
              </wp:positionH>
              <wp:positionV relativeFrom="paragraph">
                <wp:posOffset>-29003</wp:posOffset>
              </wp:positionV>
              <wp:extent cx="1020445" cy="37084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58</w:t>
        </w:r>
        <w:r w:rsidRPr="00C566BC">
          <w:rPr>
            <w:rFonts w:asciiTheme="minorHAnsi" w:hAnsiTheme="minorHAnsi" w:cstheme="minorHAnsi"/>
            <w:color w:val="808080" w:themeColor="background1" w:themeShade="80"/>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563473168"/>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1968" behindDoc="1" locked="0" layoutInCell="1" allowOverlap="1" wp14:anchorId="4C73589A" wp14:editId="001AD980">
              <wp:simplePos x="0" y="0"/>
              <wp:positionH relativeFrom="column">
                <wp:posOffset>-154216</wp:posOffset>
              </wp:positionH>
              <wp:positionV relativeFrom="paragraph">
                <wp:posOffset>-29003</wp:posOffset>
              </wp:positionV>
              <wp:extent cx="1020445" cy="37084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60</w:t>
        </w:r>
        <w:r w:rsidRPr="00C566BC">
          <w:rPr>
            <w:rFonts w:asciiTheme="minorHAnsi" w:hAnsiTheme="minorHAnsi" w:cstheme="minorHAnsi"/>
            <w:color w:val="808080" w:themeColor="background1" w:themeShade="80"/>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405208832"/>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1728" behindDoc="1" locked="0" layoutInCell="1" allowOverlap="1" wp14:anchorId="417BB573" wp14:editId="41ECDA70">
              <wp:simplePos x="0" y="0"/>
              <wp:positionH relativeFrom="column">
                <wp:posOffset>-154216</wp:posOffset>
              </wp:positionH>
              <wp:positionV relativeFrom="paragraph">
                <wp:posOffset>-29003</wp:posOffset>
              </wp:positionV>
              <wp:extent cx="1020445" cy="370840"/>
              <wp:effectExtent l="0" t="0" r="0" b="0"/>
              <wp:wrapNone/>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69</w:t>
        </w:r>
        <w:r w:rsidRPr="00C566BC">
          <w:rPr>
            <w:rFonts w:asciiTheme="minorHAnsi" w:hAnsiTheme="minorHAnsi" w:cstheme="minorHAnsi"/>
            <w:color w:val="808080" w:themeColor="background1" w:themeShade="80"/>
          </w:rP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000162512"/>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7872" behindDoc="1" locked="0" layoutInCell="1" allowOverlap="1" wp14:anchorId="01D3FF83" wp14:editId="3CFE0182">
              <wp:simplePos x="0" y="0"/>
              <wp:positionH relativeFrom="column">
                <wp:posOffset>-154216</wp:posOffset>
              </wp:positionH>
              <wp:positionV relativeFrom="paragraph">
                <wp:posOffset>-29003</wp:posOffset>
              </wp:positionV>
              <wp:extent cx="1020445" cy="370840"/>
              <wp:effectExtent l="0" t="0" r="0" b="0"/>
              <wp:wrapNone/>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75</w:t>
        </w:r>
        <w:r w:rsidRPr="00C566BC">
          <w:rPr>
            <w:rFonts w:asciiTheme="minorHAnsi" w:hAnsiTheme="minorHAnsi" w:cstheme="minorHAnsi"/>
            <w:color w:val="808080" w:themeColor="background1" w:themeShade="80"/>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31127209"/>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9920" behindDoc="1" locked="0" layoutInCell="1" allowOverlap="1" wp14:anchorId="3EBB683F" wp14:editId="369B08FC">
              <wp:simplePos x="0" y="0"/>
              <wp:positionH relativeFrom="column">
                <wp:posOffset>-154216</wp:posOffset>
              </wp:positionH>
              <wp:positionV relativeFrom="paragraph">
                <wp:posOffset>-29003</wp:posOffset>
              </wp:positionV>
              <wp:extent cx="1020445" cy="370840"/>
              <wp:effectExtent l="0" t="0" r="0" b="0"/>
              <wp:wrapNone/>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80</w:t>
        </w:r>
        <w:r w:rsidRPr="00C566BC">
          <w:rPr>
            <w:rFonts w:asciiTheme="minorHAnsi" w:hAnsiTheme="minorHAnsi" w:cstheme="minorHAnsi"/>
            <w:color w:val="808080" w:themeColor="background1" w:themeShade="80"/>
          </w:rPr>
          <w:fldChar w:fldCharType="end"/>
        </w:r>
      </w:p>
    </w:sdtContent>
  </w:sdt>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49406203"/>
      <w:docPartObj>
        <w:docPartGallery w:val="Page Numbers (Bottom of Page)"/>
        <w:docPartUnique/>
      </w:docPartObj>
    </w:sdtPr>
    <w:sdtEndPr/>
    <w:sdtContent>
      <w:p w:rsidR="00F75CE5" w:rsidRPr="000E73DD" w:rsidRDefault="00F75CE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8896" behindDoc="1" locked="0" layoutInCell="1" allowOverlap="1" wp14:anchorId="600CF073" wp14:editId="6B715340">
              <wp:simplePos x="0" y="0"/>
              <wp:positionH relativeFrom="column">
                <wp:posOffset>-154216</wp:posOffset>
              </wp:positionH>
              <wp:positionV relativeFrom="paragraph">
                <wp:posOffset>-29003</wp:posOffset>
              </wp:positionV>
              <wp:extent cx="1020445" cy="370840"/>
              <wp:effectExtent l="0" t="0" r="0" b="0"/>
              <wp:wrapNone/>
              <wp:docPr id="4096" name="Picture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86</w:t>
        </w:r>
        <w:r w:rsidRPr="00C566BC">
          <w:rPr>
            <w:rFonts w:asciiTheme="minorHAnsi" w:hAnsiTheme="minorHAnsi" w:cstheme="minorHAnsi"/>
            <w:color w:val="808080" w:themeColor="background1" w:themeShade="80"/>
          </w:rPr>
          <w:fldChar w:fldCharType="end"/>
        </w:r>
      </w:p>
    </w:sdtContent>
  </w:sdt>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380162295"/>
      <w:docPartObj>
        <w:docPartGallery w:val="Page Numbers (Bottom of Page)"/>
        <w:docPartUnique/>
      </w:docPartObj>
    </w:sdtPr>
    <w:sdtEndPr/>
    <w:sdtContent>
      <w:p w:rsidR="00B65550" w:rsidRPr="000E73DD" w:rsidRDefault="00B65550" w:rsidP="00B65550">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6064" behindDoc="1" locked="0" layoutInCell="1" allowOverlap="1" wp14:anchorId="1BCE3064" wp14:editId="50233515">
              <wp:simplePos x="0" y="0"/>
              <wp:positionH relativeFrom="column">
                <wp:posOffset>-154216</wp:posOffset>
              </wp:positionH>
              <wp:positionV relativeFrom="paragraph">
                <wp:posOffset>-29003</wp:posOffset>
              </wp:positionV>
              <wp:extent cx="1020445" cy="37084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87</w:t>
        </w:r>
        <w:r w:rsidRPr="00C566BC">
          <w:rPr>
            <w:rFonts w:asciiTheme="minorHAnsi" w:hAnsiTheme="minorHAnsi" w:cstheme="minorHAnsi"/>
            <w:color w:val="808080" w:themeColor="background1" w:themeShade="80"/>
          </w:rPr>
          <w:fldChar w:fldCharType="end"/>
        </w:r>
      </w:p>
    </w:sdtContent>
  </w:sdt>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013372491"/>
      <w:docPartObj>
        <w:docPartGallery w:val="Page Numbers (Bottom of Page)"/>
        <w:docPartUnique/>
      </w:docPartObj>
    </w:sdtPr>
    <w:sdtEndPr/>
    <w:sdtContent>
      <w:p w:rsidR="00F75CE5" w:rsidRPr="000E73DD" w:rsidRDefault="00F75CE5" w:rsidP="00B65550">
        <w:pPr>
          <w:pStyle w:val="Footer"/>
          <w:tabs>
            <w:tab w:val="clear" w:pos="4320"/>
            <w:tab w:val="clear" w:pos="8640"/>
            <w:tab w:val="left" w:pos="8669"/>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2752" behindDoc="1" locked="0" layoutInCell="1" allowOverlap="1" wp14:anchorId="62B9EAE6" wp14:editId="11756980">
              <wp:simplePos x="0" y="0"/>
              <wp:positionH relativeFrom="column">
                <wp:posOffset>-154216</wp:posOffset>
              </wp:positionH>
              <wp:positionV relativeFrom="paragraph">
                <wp:posOffset>-29003</wp:posOffset>
              </wp:positionV>
              <wp:extent cx="1020445" cy="370840"/>
              <wp:effectExtent l="0" t="0" r="0" b="0"/>
              <wp:wrapNone/>
              <wp:docPr id="4098" name="Picture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00B65550">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96</w:t>
        </w:r>
        <w:r w:rsidRPr="00C566BC">
          <w:rPr>
            <w:rFonts w:asciiTheme="minorHAnsi" w:hAnsiTheme="minorHAnsi" w:cstheme="minorHAnsi"/>
            <w:color w:val="808080" w:themeColor="background1" w:themeShade="80"/>
          </w:rPr>
          <w:fldChar w:fldCharType="end"/>
        </w:r>
      </w:p>
    </w:sdtContent>
  </w:sdt>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629856694"/>
      <w:docPartObj>
        <w:docPartGallery w:val="Page Numbers (Bottom of Page)"/>
        <w:docPartUnique/>
      </w:docPartObj>
    </w:sdtPr>
    <w:sdtEndPr/>
    <w:sdtContent>
      <w:p w:rsidR="00F75CE5" w:rsidRPr="000E73DD" w:rsidRDefault="00F75CE5" w:rsidP="001A7673">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4800" behindDoc="1" locked="0" layoutInCell="1" allowOverlap="1" wp14:anchorId="44B191B5" wp14:editId="6B2F9E33">
              <wp:simplePos x="0" y="0"/>
              <wp:positionH relativeFrom="column">
                <wp:posOffset>-154216</wp:posOffset>
              </wp:positionH>
              <wp:positionV relativeFrom="paragraph">
                <wp:posOffset>-29003</wp:posOffset>
              </wp:positionV>
              <wp:extent cx="1020445" cy="370840"/>
              <wp:effectExtent l="0" t="0" r="0" b="0"/>
              <wp:wrapNone/>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97</w:t>
        </w:r>
        <w:r w:rsidRPr="00C566BC">
          <w:rPr>
            <w:rFonts w:asciiTheme="minorHAnsi" w:hAnsiTheme="minorHAnsi" w:cstheme="minorHAnsi"/>
            <w:color w:val="808080" w:themeColor="background1" w:themeShade="80"/>
          </w:rPr>
          <w:fldChar w:fldCharType="end"/>
        </w:r>
      </w:p>
    </w:sdtContent>
  </w:sdt>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664286887"/>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3776" behindDoc="1" locked="0" layoutInCell="1" allowOverlap="1" wp14:anchorId="2371133F" wp14:editId="43FC2A9C">
              <wp:simplePos x="0" y="0"/>
              <wp:positionH relativeFrom="column">
                <wp:posOffset>-154216</wp:posOffset>
              </wp:positionH>
              <wp:positionV relativeFrom="paragraph">
                <wp:posOffset>-29003</wp:posOffset>
              </wp:positionV>
              <wp:extent cx="1020445" cy="370840"/>
              <wp:effectExtent l="0" t="0" r="0" b="0"/>
              <wp:wrapNone/>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98</w:t>
        </w:r>
        <w:r w:rsidRPr="00C566BC">
          <w:rPr>
            <w:rFonts w:asciiTheme="minorHAnsi" w:hAnsiTheme="minorHAnsi" w:cstheme="minorHAnsi"/>
            <w:color w:val="808080" w:themeColor="background1" w:themeShade="80"/>
          </w:rPr>
          <w:fldChar w:fldCharType="end"/>
        </w:r>
      </w:p>
    </w:sdtContent>
  </w:sdt>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40960672"/>
      <w:docPartObj>
        <w:docPartGallery w:val="Page Numbers (Bottom of Page)"/>
        <w:docPartUnique/>
      </w:docPartObj>
    </w:sdtPr>
    <w:sdtEndPr/>
    <w:sdtContent>
      <w:p w:rsidR="00F75CE5" w:rsidRPr="000E73DD" w:rsidRDefault="00F75CE5" w:rsidP="001A7673">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5824" behindDoc="1" locked="0" layoutInCell="1" allowOverlap="1" wp14:anchorId="27CAD17F" wp14:editId="2AD3C217">
              <wp:simplePos x="0" y="0"/>
              <wp:positionH relativeFrom="column">
                <wp:posOffset>-154216</wp:posOffset>
              </wp:positionH>
              <wp:positionV relativeFrom="paragraph">
                <wp:posOffset>-29003</wp:posOffset>
              </wp:positionV>
              <wp:extent cx="1020445" cy="370840"/>
              <wp:effectExtent l="0" t="0" r="0" b="0"/>
              <wp:wrapNone/>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99</w:t>
        </w:r>
        <w:r w:rsidRPr="00C566BC">
          <w:rPr>
            <w:rFonts w:asciiTheme="minorHAnsi" w:hAnsiTheme="minorHAnsi" w:cstheme="minorHAnsi"/>
            <w:color w:val="808080" w:themeColor="background1" w:themeShade="80"/>
          </w:rPr>
          <w:fldChar w:fldCharType="end"/>
        </w:r>
      </w:p>
    </w:sdtContent>
  </w:sdt>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687714519"/>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26848" behindDoc="1" locked="0" layoutInCell="1" allowOverlap="1" wp14:anchorId="70916EA5" wp14:editId="164E9EFD">
              <wp:simplePos x="0" y="0"/>
              <wp:positionH relativeFrom="column">
                <wp:posOffset>-154216</wp:posOffset>
              </wp:positionH>
              <wp:positionV relativeFrom="paragraph">
                <wp:posOffset>-29003</wp:posOffset>
              </wp:positionV>
              <wp:extent cx="1020445" cy="37084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113</w:t>
        </w:r>
        <w:r w:rsidRPr="00C566BC">
          <w:rPr>
            <w:rFonts w:asciiTheme="minorHAnsi" w:hAnsiTheme="minorHAnsi" w:cstheme="minorHAnsi"/>
            <w:color w:val="808080" w:themeColor="background1" w:themeShade="80"/>
          </w:rPr>
          <w:fldChar w:fldCharType="end"/>
        </w:r>
      </w:p>
    </w:sdtContent>
  </w:sdt>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66759135"/>
      <w:docPartObj>
        <w:docPartGallery w:val="Page Numbers (Bottom of Page)"/>
        <w:docPartUnique/>
      </w:docPartObj>
    </w:sdtPr>
    <w:sdtEndPr/>
    <w:sdtContent>
      <w:p w:rsidR="00B65550" w:rsidRPr="000E73DD" w:rsidRDefault="00B65550" w:rsidP="00B65550">
        <w:pPr>
          <w:pStyle w:val="Footer"/>
          <w:tabs>
            <w:tab w:val="clear" w:pos="4320"/>
            <w:tab w:val="clear" w:pos="8640"/>
            <w:tab w:val="right" w:pos="1296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8112" behindDoc="1" locked="0" layoutInCell="1" allowOverlap="1" wp14:anchorId="6A3FA8C7" wp14:editId="273ACAC3">
              <wp:simplePos x="0" y="0"/>
              <wp:positionH relativeFrom="column">
                <wp:posOffset>-154216</wp:posOffset>
              </wp:positionH>
              <wp:positionV relativeFrom="paragraph">
                <wp:posOffset>-29003</wp:posOffset>
              </wp:positionV>
              <wp:extent cx="1020445" cy="37084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114</w:t>
        </w:r>
        <w:r w:rsidRPr="00C566BC">
          <w:rPr>
            <w:rFonts w:asciiTheme="minorHAnsi" w:hAnsiTheme="minorHAnsi" w:cstheme="minorHAnsi"/>
            <w:color w:val="808080" w:themeColor="background1" w:themeShade="80"/>
          </w:rPr>
          <w:fldChar w:fldCharType="end"/>
        </w:r>
      </w:p>
    </w:sdtContent>
  </w:sdt>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830633824"/>
      <w:docPartObj>
        <w:docPartGallery w:val="Page Numbers (Bottom of Page)"/>
        <w:docPartUnique/>
      </w:docPartObj>
    </w:sdtPr>
    <w:sdtEndPr/>
    <w:sdtContent>
      <w:p w:rsidR="00B65550" w:rsidRPr="000E73DD" w:rsidRDefault="00B65550" w:rsidP="00B05F6A">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0160" behindDoc="1" locked="0" layoutInCell="1" allowOverlap="1" wp14:anchorId="470AC678" wp14:editId="036CC370">
              <wp:simplePos x="0" y="0"/>
              <wp:positionH relativeFrom="column">
                <wp:posOffset>-154216</wp:posOffset>
              </wp:positionH>
              <wp:positionV relativeFrom="paragraph">
                <wp:posOffset>-29003</wp:posOffset>
              </wp:positionV>
              <wp:extent cx="1020445" cy="37084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117</w:t>
        </w:r>
        <w:r w:rsidRPr="00C566BC">
          <w:rPr>
            <w:rFonts w:asciiTheme="minorHAnsi" w:hAnsiTheme="minorHAnsi" w:cstheme="minorHAnsi"/>
            <w:color w:val="808080" w:themeColor="background1" w:themeShade="80"/>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675641375"/>
      <w:docPartObj>
        <w:docPartGallery w:val="Page Numbers (Bottom of Page)"/>
        <w:docPartUnique/>
      </w:docPartObj>
    </w:sdtPr>
    <w:sdtEndPr/>
    <w:sdtContent>
      <w:p w:rsidR="00F75CE5" w:rsidRPr="000E73DD" w:rsidRDefault="00F75CE5" w:rsidP="00B05F6A">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19680" behindDoc="1" locked="0" layoutInCell="1" allowOverlap="1" wp14:anchorId="3B2E9860" wp14:editId="0598714F">
              <wp:simplePos x="0" y="0"/>
              <wp:positionH relativeFrom="column">
                <wp:posOffset>-154216</wp:posOffset>
              </wp:positionH>
              <wp:positionV relativeFrom="paragraph">
                <wp:posOffset>-29003</wp:posOffset>
              </wp:positionV>
              <wp:extent cx="1020445" cy="370840"/>
              <wp:effectExtent l="0" t="0" r="0" b="0"/>
              <wp:wrapNone/>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150CBF">
          <w:rPr>
            <w:rFonts w:asciiTheme="minorHAnsi" w:hAnsiTheme="minorHAnsi" w:cstheme="minorHAnsi"/>
            <w:noProof/>
            <w:color w:val="808080" w:themeColor="background1" w:themeShade="80"/>
          </w:rPr>
          <w:t>135</w:t>
        </w:r>
        <w:r w:rsidRPr="00C566BC">
          <w:rPr>
            <w:rFonts w:asciiTheme="minorHAnsi" w:hAnsiTheme="minorHAnsi" w:cstheme="minorHAnsi"/>
            <w:color w:val="808080" w:themeColor="background1" w:themeShade="8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777E" w:rsidRDefault="001E777E" w:rsidP="00DB35F9">
      <w:pPr>
        <w:spacing w:after="0" w:line="240" w:lineRule="auto"/>
      </w:pPr>
      <w:r>
        <w:separator/>
      </w:r>
    </w:p>
  </w:footnote>
  <w:footnote w:type="continuationSeparator" w:id="0">
    <w:p w:rsidR="001E777E" w:rsidRDefault="001E777E" w:rsidP="00DB35F9">
      <w:pPr>
        <w:spacing w:after="0" w:line="240" w:lineRule="auto"/>
      </w:pPr>
      <w:r>
        <w:continuationSeparator/>
      </w:r>
    </w:p>
  </w:footnote>
  <w:footnote w:id="1">
    <w:p w:rsidR="00F75CE5" w:rsidRDefault="00F75CE5" w:rsidP="008028DC">
      <w:pPr>
        <w:pStyle w:val="FootnoteText"/>
      </w:pPr>
      <w:r>
        <w:rPr>
          <w:rStyle w:val="FootnoteReference"/>
        </w:rPr>
        <w:footnoteRef/>
      </w:r>
      <w:r>
        <w:t xml:space="preserve"> The term “customer” is used synonymously with “service account” throughout this report.</w:t>
      </w:r>
    </w:p>
  </w:footnote>
  <w:footnote w:id="2">
    <w:p w:rsidR="00F75CE5" w:rsidRPr="00411399" w:rsidRDefault="00F75CE5" w:rsidP="008028DC">
      <w:pPr>
        <w:pStyle w:val="Footnote"/>
      </w:pPr>
      <w:r>
        <w:rPr>
          <w:rStyle w:val="FootnoteReference"/>
        </w:rPr>
        <w:footnoteRef/>
      </w:r>
      <w:r>
        <w:t xml:space="preserve"> All customers who were defaulted onto the program or would have been defaulted onto CPP due to their size are referred to as d</w:t>
      </w:r>
      <w:r w:rsidRPr="0067697C">
        <w:t>efault CPP</w:t>
      </w:r>
      <w:r>
        <w:t xml:space="preserve"> customers in this report. </w:t>
      </w:r>
      <w:r>
        <w:rPr>
          <w:i/>
        </w:rPr>
        <w:t xml:space="preserve"> </w:t>
      </w:r>
    </w:p>
  </w:footnote>
  <w:footnote w:id="3">
    <w:p w:rsidR="00F75CE5" w:rsidRDefault="00F75CE5" w:rsidP="006A7080">
      <w:pPr>
        <w:pStyle w:val="FootnoteText"/>
      </w:pPr>
      <w:r>
        <w:rPr>
          <w:rStyle w:val="FootnoteReference"/>
        </w:rPr>
        <w:footnoteRef/>
      </w:r>
      <w:r>
        <w:t xml:space="preserve"> This is a new requirement this year and is explained in Section 3.</w:t>
      </w:r>
    </w:p>
  </w:footnote>
  <w:footnote w:id="4">
    <w:p w:rsidR="00F75CE5" w:rsidRDefault="00F75CE5" w:rsidP="006A7080">
      <w:pPr>
        <w:pStyle w:val="Footnote"/>
      </w:pPr>
      <w:r>
        <w:rPr>
          <w:rStyle w:val="FootnoteReference"/>
        </w:rPr>
        <w:footnoteRef/>
      </w:r>
      <w:r>
        <w:t xml:space="preserve"> In this report, definitions of large, medium and small C&amp;I customers are consistent with demand response reporting to the </w:t>
      </w:r>
      <w:r w:rsidRPr="00056D0A">
        <w:t>California</w:t>
      </w:r>
      <w:r>
        <w:t xml:space="preserve"> Public Utilities Commission (CPUC)</w:t>
      </w:r>
      <w:proofErr w:type="gramStart"/>
      <w:r>
        <w:t xml:space="preserve">.  </w:t>
      </w:r>
      <w:proofErr w:type="gramEnd"/>
      <w:r>
        <w:t>Accounts with peak demand of 200 kW or more are considered large C&amp;I, while accounts between 20 kW and 200 kW are referred to as medium C&amp;I</w:t>
      </w:r>
      <w:proofErr w:type="gramStart"/>
      <w:r>
        <w:t xml:space="preserve">.  </w:t>
      </w:r>
      <w:proofErr w:type="gramEnd"/>
      <w:r>
        <w:t>Small commercial customers include all accounts with annual peak demands under 20 kW</w:t>
      </w:r>
      <w:proofErr w:type="gramStart"/>
      <w:r>
        <w:t xml:space="preserve">.  </w:t>
      </w:r>
      <w:proofErr w:type="gramEnd"/>
      <w:r>
        <w:t>This is in contrast to how PG&amp;E and SCE rate schedules define customers</w:t>
      </w:r>
      <w:proofErr w:type="gramStart"/>
      <w:r>
        <w:t xml:space="preserve">.  </w:t>
      </w:r>
      <w:proofErr w:type="gramEnd"/>
      <w:r>
        <w:t xml:space="preserve">At these utilities, customers with annual peak demand above 500 kW are categorized as large C&amp;I and those with demands between 200 kW to 500 kW are categorized as medium.   </w:t>
      </w:r>
    </w:p>
  </w:footnote>
  <w:footnote w:id="5">
    <w:p w:rsidR="00F75CE5" w:rsidRDefault="00F75CE5" w:rsidP="006A7080">
      <w:pPr>
        <w:pStyle w:val="Footnote"/>
      </w:pPr>
      <w:r w:rsidRPr="00234E59">
        <w:rPr>
          <w:rStyle w:val="FootnoteReference"/>
          <w:szCs w:val="18"/>
        </w:rPr>
        <w:footnoteRef/>
      </w:r>
      <w:r>
        <w:t xml:space="preserve"> Tables 2-1 and 2-2 </w:t>
      </w:r>
      <w:r w:rsidRPr="00292B1C">
        <w:t>do not include all CPP rates at each utility</w:t>
      </w:r>
      <w:r>
        <w:t>, and the rates shown are presented for illustrative purposes only</w:t>
      </w:r>
      <w:proofErr w:type="gramStart"/>
      <w:r w:rsidRPr="00292B1C">
        <w:t>.</w:t>
      </w:r>
      <w:r>
        <w:t xml:space="preserve">  </w:t>
      </w:r>
      <w:proofErr w:type="gramEnd"/>
      <w:r w:rsidRPr="00292B1C">
        <w:t xml:space="preserve">Rates </w:t>
      </w:r>
      <w:r>
        <w:t>may vary over the course of the program year</w:t>
      </w:r>
      <w:r w:rsidRPr="00292B1C">
        <w:t xml:space="preserve">, </w:t>
      </w:r>
      <w:r>
        <w:t xml:space="preserve">by </w:t>
      </w:r>
      <w:r w:rsidRPr="00292B1C">
        <w:t>customer size and service voltage level</w:t>
      </w:r>
      <w:proofErr w:type="gramStart"/>
      <w:r w:rsidRPr="00292B1C">
        <w:t xml:space="preserve">.  </w:t>
      </w:r>
      <w:proofErr w:type="gramEnd"/>
      <w:r w:rsidRPr="00292B1C">
        <w:t xml:space="preserve">The rates shown are for </w:t>
      </w:r>
      <w:r w:rsidRPr="00A160C2">
        <w:t>customers</w:t>
      </w:r>
      <w:r w:rsidRPr="00292B1C">
        <w:t xml:space="preserve"> at the secondary </w:t>
      </w:r>
      <w:r>
        <w:t xml:space="preserve">service </w:t>
      </w:r>
      <w:r w:rsidRPr="00292B1C">
        <w:t>voltage level</w:t>
      </w:r>
      <w:proofErr w:type="gramStart"/>
      <w:r>
        <w:t xml:space="preserve">.  </w:t>
      </w:r>
      <w:proofErr w:type="gramEnd"/>
      <w:r w:rsidRPr="00292B1C">
        <w:t>E-19 is mandatory for PG&amp;E customers who fail to meet the requirements of E-20, but have monthly maximum b</w:t>
      </w:r>
      <w:r>
        <w:t xml:space="preserve">illing demand above 499 kW and </w:t>
      </w:r>
      <w:r w:rsidRPr="00292B1C">
        <w:t>is voluntary for PG&amp;E customers with</w:t>
      </w:r>
      <w:r>
        <w:t> </w:t>
      </w:r>
      <w:r w:rsidRPr="00292B1C">
        <w:t>maximum billing demand greater than 200 kW and less than 500 kW; TOU-GS-3 is mandatory for SCE customers with maximum demand greater than 200 kW and less than 500 kW; and AL-TOU applies to all SDG&amp;E customers whose monthly maximum demand equals, exceeds, or is expecte</w:t>
      </w:r>
      <w:r>
        <w:t>d to equal or exceed 20 kW</w:t>
      </w:r>
      <w:proofErr w:type="gramStart"/>
      <w:r>
        <w:t xml:space="preserve">.  </w:t>
      </w:r>
      <w:proofErr w:type="gramEnd"/>
      <w:r>
        <w:t>This</w:t>
      </w:r>
      <w:r w:rsidRPr="00292B1C">
        <w:t xml:space="preserve"> example PG&amp;E E-19 rate </w:t>
      </w:r>
      <w:r>
        <w:t>was effective May 1, 2014</w:t>
      </w:r>
      <w:r w:rsidRPr="00292B1C">
        <w:t xml:space="preserve">; the SCE TOU-GS-3 rate was </w:t>
      </w:r>
      <w:r>
        <w:t>effective</w:t>
      </w:r>
      <w:r w:rsidRPr="00292B1C">
        <w:t xml:space="preserve"> </w:t>
      </w:r>
      <w:r>
        <w:t>April 1, 2014;</w:t>
      </w:r>
      <w:r w:rsidRPr="00292B1C">
        <w:t xml:space="preserve"> </w:t>
      </w:r>
      <w:r>
        <w:t xml:space="preserve">and </w:t>
      </w:r>
      <w:r w:rsidRPr="00B60C68">
        <w:t xml:space="preserve">the SDG&amp;E </w:t>
      </w:r>
      <w:r>
        <w:t>rates were effective May 1, 2014</w:t>
      </w:r>
      <w:proofErr w:type="gramStart"/>
      <w:r w:rsidRPr="00B60C68">
        <w:t xml:space="preserve">.  </w:t>
      </w:r>
      <w:proofErr w:type="gramEnd"/>
      <w:r w:rsidRPr="00B60C68">
        <w:t xml:space="preserve">Please consult </w:t>
      </w:r>
      <w:r>
        <w:t xml:space="preserve">each utility's </w:t>
      </w:r>
      <w:r w:rsidRPr="00B60C68">
        <w:t>website</w:t>
      </w:r>
      <w:r w:rsidRPr="00292B1C">
        <w:t xml:space="preserve"> to obtain the CPP rates that</w:t>
      </w:r>
      <w:r>
        <w:t> </w:t>
      </w:r>
      <w:r w:rsidRPr="00292B1C">
        <w:t>were</w:t>
      </w:r>
      <w:r>
        <w:t> </w:t>
      </w:r>
      <w:r w:rsidRPr="00292B1C">
        <w:t>in</w:t>
      </w:r>
      <w:r>
        <w:t> </w:t>
      </w:r>
      <w:r w:rsidRPr="00292B1C">
        <w:t>effect for specific time</w:t>
      </w:r>
      <w:r>
        <w:t xml:space="preserve"> </w:t>
      </w:r>
      <w:r w:rsidRPr="00292B1C">
        <w:t>periods.</w:t>
      </w:r>
    </w:p>
  </w:footnote>
  <w:footnote w:id="6">
    <w:p w:rsidR="00F75CE5" w:rsidRDefault="00F75CE5" w:rsidP="006A7080">
      <w:pPr>
        <w:pStyle w:val="FootnoteText"/>
      </w:pPr>
      <w:r>
        <w:rPr>
          <w:rStyle w:val="FootnoteReference"/>
        </w:rPr>
        <w:footnoteRef/>
      </w:r>
      <w:r>
        <w:t xml:space="preserve"> In this example, the customer’s observed load would be 225 kW (250 kW reference load minus a 10% load impact equals 225 kW)</w:t>
      </w:r>
      <w:proofErr w:type="gramStart"/>
      <w:r>
        <w:t xml:space="preserve">.  </w:t>
      </w:r>
      <w:proofErr w:type="gramEnd"/>
      <w:r>
        <w:t>The biased reference load would be 0.95 times the true reference load, which is 237.5 kW</w:t>
      </w:r>
      <w:proofErr w:type="gramStart"/>
      <w:r>
        <w:t xml:space="preserve">.  </w:t>
      </w:r>
      <w:proofErr w:type="gramEnd"/>
      <w:r>
        <w:t>The estimated load impact based on the biased reference load would then be 237.5 kW minus 225 kW, which equals 12.5 kW</w:t>
      </w:r>
      <w:proofErr w:type="gramStart"/>
      <w:r>
        <w:t xml:space="preserve">.  </w:t>
      </w:r>
      <w:proofErr w:type="gramEnd"/>
      <w:r>
        <w:t>This biased load impact is 50% lower than the actual load impact of 25 kW.</w:t>
      </w:r>
    </w:p>
  </w:footnote>
  <w:footnote w:id="7">
    <w:p w:rsidR="00F75CE5" w:rsidRDefault="00F75CE5" w:rsidP="006A7080">
      <w:pPr>
        <w:pStyle w:val="FootnoteText"/>
      </w:pPr>
      <w:r>
        <w:rPr>
          <w:rStyle w:val="FootnoteReference"/>
        </w:rPr>
        <w:footnoteRef/>
      </w:r>
      <w:r>
        <w:t xml:space="preserve"> The class of model is the particular type of statistical model used</w:t>
      </w:r>
      <w:proofErr w:type="gramStart"/>
      <w:r>
        <w:t xml:space="preserve">.  </w:t>
      </w:r>
      <w:proofErr w:type="gramEnd"/>
      <w:r>
        <w:t xml:space="preserve">For example, </w:t>
      </w:r>
      <w:proofErr w:type="spellStart"/>
      <w:r>
        <w:t>probit</w:t>
      </w:r>
      <w:proofErr w:type="spellEnd"/>
      <w:r>
        <w:t xml:space="preserve"> and logistic regression models are two classes of model.  </w:t>
      </w:r>
    </w:p>
  </w:footnote>
  <w:footnote w:id="8">
    <w:p w:rsidR="00F75CE5" w:rsidRDefault="00F75CE5" w:rsidP="006A7080">
      <w:pPr>
        <w:pStyle w:val="Footnote"/>
      </w:pPr>
      <w:r>
        <w:rPr>
          <w:rStyle w:val="FootnoteReference"/>
        </w:rPr>
        <w:footnoteRef/>
      </w:r>
      <w:r>
        <w:t xml:space="preserve"> For PG&amp;E, the temperatures were calculated based on the 5-station simple average of the Concord, Fresno, Oakland, Red Bluff and San Jose weather stations</w:t>
      </w:r>
      <w:proofErr w:type="gramStart"/>
      <w:r>
        <w:t xml:space="preserve">.  </w:t>
      </w:r>
      <w:proofErr w:type="gramEnd"/>
      <w:r>
        <w:t>These are the same weather stations PG&amp;E uses in assessing whether or not to dispatch programs</w:t>
      </w:r>
      <w:proofErr w:type="gramStart"/>
      <w:r>
        <w:t xml:space="preserve">.  </w:t>
      </w:r>
      <w:proofErr w:type="gramEnd"/>
      <w:r>
        <w:t>For SDG&amp;E, the temperatures were from the Miramar weather station, which is used to assess when to dispatch events</w:t>
      </w:r>
      <w:proofErr w:type="gramStart"/>
      <w:r>
        <w:t xml:space="preserve">.  </w:t>
      </w:r>
      <w:proofErr w:type="gramEnd"/>
      <w:r>
        <w:t>For SCE, we used the simple average of the 9 weather stations that most correlated (correlation above 0.80) with system loads across 2007-2012.</w:t>
      </w:r>
    </w:p>
  </w:footnote>
  <w:footnote w:id="9">
    <w:p w:rsidR="00F75CE5" w:rsidRDefault="00F75CE5" w:rsidP="006A7080">
      <w:pPr>
        <w:pStyle w:val="FootnoteText"/>
      </w:pPr>
      <w:r>
        <w:rPr>
          <w:rStyle w:val="FootnoteReference"/>
        </w:rPr>
        <w:footnoteRef/>
      </w:r>
      <w:r>
        <w:t xml:space="preserve"> Separate winter and summer graphs are shown for SDG&amp;E</w:t>
      </w:r>
      <w:proofErr w:type="gramStart"/>
      <w:r>
        <w:t xml:space="preserve">.  </w:t>
      </w:r>
      <w:proofErr w:type="gramEnd"/>
      <w:r>
        <w:t>A separate set of proxy days was selected to accompany the winter event that SDG&amp;E called in February, as the impact was estimated separately from the summer events.</w:t>
      </w:r>
    </w:p>
  </w:footnote>
  <w:footnote w:id="10">
    <w:p w:rsidR="00F75CE5" w:rsidRDefault="00F75CE5" w:rsidP="006A7080">
      <w:pPr>
        <w:pStyle w:val="Footnote"/>
      </w:pPr>
      <w:r>
        <w:rPr>
          <w:rStyle w:val="FootnoteReference"/>
        </w:rPr>
        <w:footnoteRef/>
      </w:r>
      <w:r>
        <w:t xml:space="preserve"> For a discussion of the use of propensity score matching to identify control groups, see </w:t>
      </w:r>
      <w:proofErr w:type="spellStart"/>
      <w:r>
        <w:t>Imbens</w:t>
      </w:r>
      <w:proofErr w:type="spellEnd"/>
      <w:r>
        <w:t>, Guido W. and Woolridge, Jeffrey M</w:t>
      </w:r>
      <w:proofErr w:type="gramStart"/>
      <w:r>
        <w:t xml:space="preserve">.  </w:t>
      </w:r>
      <w:proofErr w:type="gramEnd"/>
      <w:r>
        <w:t>“Recent Developments in the Econometrics of Program Evaluation.</w:t>
      </w:r>
      <w:proofErr w:type="gramStart"/>
      <w:r>
        <w:t xml:space="preserve">”  </w:t>
      </w:r>
      <w:proofErr w:type="gramEnd"/>
      <w:r w:rsidRPr="00E8093E">
        <w:rPr>
          <w:i/>
        </w:rPr>
        <w:t>Journal of Economic Literature</w:t>
      </w:r>
      <w:r>
        <w:t xml:space="preserve"> 47.1 (2009): 5-86.</w:t>
      </w:r>
    </w:p>
  </w:footnote>
  <w:footnote w:id="11">
    <w:p w:rsidR="00F75CE5" w:rsidRDefault="00F75CE5" w:rsidP="006A7080">
      <w:pPr>
        <w:pStyle w:val="Footnote"/>
      </w:pPr>
      <w:r>
        <w:rPr>
          <w:rStyle w:val="FootnoteReference"/>
        </w:rPr>
        <w:footnoteRef/>
      </w:r>
      <w:r>
        <w:t xml:space="preserve"> </w:t>
      </w:r>
      <w:r w:rsidRPr="00A765EB">
        <w:rPr>
          <w:rStyle w:val="FootnoteTextChar"/>
        </w:rPr>
        <w:t xml:space="preserve">Fixed </w:t>
      </w:r>
      <w:r w:rsidRPr="004F0234">
        <w:rPr>
          <w:rStyle w:val="FootnoteTextChar"/>
        </w:rPr>
        <w:t>effects</w:t>
      </w:r>
      <w:r w:rsidRPr="00A765EB">
        <w:rPr>
          <w:rStyle w:val="FootnoteTextChar"/>
        </w:rPr>
        <w:t xml:space="preserve"> account for unobserved time invariant customer characteristics</w:t>
      </w:r>
      <w:proofErr w:type="gramStart"/>
      <w:r w:rsidRPr="00A765EB">
        <w:rPr>
          <w:rStyle w:val="FootnoteTextChar"/>
        </w:rPr>
        <w:t xml:space="preserve">. </w:t>
      </w:r>
      <w:r>
        <w:rPr>
          <w:rStyle w:val="FootnoteTextChar"/>
        </w:rPr>
        <w:t xml:space="preserve"> </w:t>
      </w:r>
      <w:proofErr w:type="gramEnd"/>
      <w:r w:rsidRPr="00A765EB">
        <w:rPr>
          <w:rStyle w:val="FootnoteTextChar"/>
        </w:rPr>
        <w:t>They also place all customers on the same</w:t>
      </w:r>
      <w:r>
        <w:rPr>
          <w:rStyle w:val="FootnoteTextChar"/>
        </w:rPr>
        <w:t> </w:t>
      </w:r>
      <w:r w:rsidRPr="00A765EB">
        <w:rPr>
          <w:rStyle w:val="FootnoteTextChar"/>
        </w:rPr>
        <w:t>scale</w:t>
      </w:r>
      <w:proofErr w:type="gramStart"/>
      <w:r w:rsidRPr="00A765EB">
        <w:rPr>
          <w:rStyle w:val="FootnoteTextChar"/>
        </w:rPr>
        <w:t xml:space="preserve">.  </w:t>
      </w:r>
      <w:proofErr w:type="gramEnd"/>
      <w:r w:rsidRPr="00A765EB">
        <w:rPr>
          <w:rStyle w:val="FootnoteTextChar"/>
        </w:rPr>
        <w:t xml:space="preserve">Time </w:t>
      </w:r>
      <w:r w:rsidRPr="00056D0A">
        <w:rPr>
          <w:rStyle w:val="FootnoteTextChar"/>
        </w:rPr>
        <w:t>effects</w:t>
      </w:r>
      <w:r w:rsidRPr="00A765EB">
        <w:rPr>
          <w:rStyle w:val="FootnoteTextChar"/>
        </w:rPr>
        <w:t xml:space="preserve"> account for unobserved factors that are the same across all customers but unique to </w:t>
      </w:r>
      <w:r>
        <w:rPr>
          <w:rStyle w:val="FootnoteTextChar"/>
        </w:rPr>
        <w:t xml:space="preserve">a </w:t>
      </w:r>
      <w:r w:rsidRPr="00A765EB">
        <w:rPr>
          <w:rStyle w:val="FootnoteTextChar"/>
        </w:rPr>
        <w:t>specific time period.</w:t>
      </w:r>
      <w:r w:rsidRPr="009C4B38">
        <w:t xml:space="preserve"> </w:t>
      </w:r>
    </w:p>
  </w:footnote>
  <w:footnote w:id="12">
    <w:p w:rsidR="00F75CE5" w:rsidRDefault="00F75CE5" w:rsidP="006A7080">
      <w:pPr>
        <w:pStyle w:val="Footnote"/>
      </w:pPr>
      <w:r>
        <w:rPr>
          <w:rStyle w:val="FootnoteReference"/>
        </w:rPr>
        <w:footnoteRef/>
      </w:r>
      <w:r>
        <w:t xml:space="preserve"> A second model was tested that included weather to assess if it affected the precision of the standard errors or changed the results</w:t>
      </w:r>
      <w:proofErr w:type="gramStart"/>
      <w:r>
        <w:t xml:space="preserve">.  </w:t>
      </w:r>
      <w:proofErr w:type="gramEnd"/>
      <w:r>
        <w:t xml:space="preserve">The second model produced results that were nearly identical to the first, indicating that the control group and the </w:t>
      </w:r>
      <w:r w:rsidRPr="00056D0A">
        <w:t>difference</w:t>
      </w:r>
      <w:r>
        <w:t>-in-differences adjustment provided nearly all of the explanatory power.</w:t>
      </w:r>
    </w:p>
  </w:footnote>
  <w:footnote w:id="13">
    <w:p w:rsidR="00F75CE5" w:rsidRDefault="00F75CE5" w:rsidP="006A7080">
      <w:pPr>
        <w:pStyle w:val="FootnoteText"/>
      </w:pPr>
      <w:r>
        <w:rPr>
          <w:rStyle w:val="FootnoteReference"/>
        </w:rPr>
        <w:footnoteRef/>
      </w:r>
      <w:r>
        <w:t xml:space="preserve"> At PG&amp;E, individual customer regressions were performed for 35 customers</w:t>
      </w:r>
      <w:proofErr w:type="gramStart"/>
      <w:r>
        <w:t xml:space="preserve">.  </w:t>
      </w:r>
      <w:proofErr w:type="gramEnd"/>
      <w:r>
        <w:t>34% of these customers were in the 5</w:t>
      </w:r>
      <w:r w:rsidRPr="00182276">
        <w:rPr>
          <w:vertAlign w:val="superscript"/>
        </w:rPr>
        <w:t>th</w:t>
      </w:r>
      <w:r>
        <w:t xml:space="preserve"> usage quintile, which was disproportionately represented</w:t>
      </w:r>
      <w:proofErr w:type="gramStart"/>
      <w:r>
        <w:t xml:space="preserve">.  </w:t>
      </w:r>
      <w:proofErr w:type="gramEnd"/>
      <w:r>
        <w:t>At SCE, individual customer regressions were performed for 484 customers</w:t>
      </w:r>
      <w:proofErr w:type="gramStart"/>
      <w:r>
        <w:t xml:space="preserve">.  </w:t>
      </w:r>
      <w:proofErr w:type="gramEnd"/>
      <w:r>
        <w:t>These customers tended to be in the 1</w:t>
      </w:r>
      <w:r w:rsidRPr="00182276">
        <w:rPr>
          <w:vertAlign w:val="superscript"/>
        </w:rPr>
        <w:t>st</w:t>
      </w:r>
      <w:r>
        <w:t xml:space="preserve"> and 5</w:t>
      </w:r>
      <w:r w:rsidRPr="00182276">
        <w:rPr>
          <w:vertAlign w:val="superscript"/>
        </w:rPr>
        <w:t>th</w:t>
      </w:r>
      <w:r>
        <w:t xml:space="preserve"> usage </w:t>
      </w:r>
      <w:proofErr w:type="spellStart"/>
      <w:r>
        <w:t>quintles</w:t>
      </w:r>
      <w:proofErr w:type="spellEnd"/>
      <w:proofErr w:type="gramStart"/>
      <w:r>
        <w:t xml:space="preserve">.  </w:t>
      </w:r>
      <w:proofErr w:type="gramEnd"/>
      <w:r>
        <w:t>At SDG&amp;E, individual customers regressions were performed for 86 customers</w:t>
      </w:r>
      <w:proofErr w:type="gramStart"/>
      <w:r>
        <w:t xml:space="preserve">.  </w:t>
      </w:r>
      <w:proofErr w:type="gramEnd"/>
      <w:r>
        <w:t>These customers tended to be in the 1</w:t>
      </w:r>
      <w:r w:rsidRPr="009511D6">
        <w:rPr>
          <w:vertAlign w:val="superscript"/>
        </w:rPr>
        <w:t>st</w:t>
      </w:r>
      <w:r>
        <w:t xml:space="preserve"> and 4</w:t>
      </w:r>
      <w:r w:rsidRPr="009511D6">
        <w:rPr>
          <w:vertAlign w:val="superscript"/>
        </w:rPr>
        <w:t>th</w:t>
      </w:r>
      <w:r>
        <w:t xml:space="preserve"> usage quintiles</w:t>
      </w:r>
      <w:proofErr w:type="gramStart"/>
      <w:r>
        <w:t xml:space="preserve">.  </w:t>
      </w:r>
      <w:proofErr w:type="gramEnd"/>
      <w:r>
        <w:t>SDG&amp;E retail Stores were disproportionately represented as they made up 33% of unmatched customers, but only 10% of the defaulted CPP population. There were no strong trends by industry at PG&amp;E or SCE.</w:t>
      </w:r>
    </w:p>
  </w:footnote>
  <w:footnote w:id="14">
    <w:p w:rsidR="00F75CE5" w:rsidRDefault="00F75CE5" w:rsidP="006A7080">
      <w:pPr>
        <w:pStyle w:val="FootnoteText"/>
      </w:pPr>
      <w:r>
        <w:rPr>
          <w:rStyle w:val="FootnoteReference"/>
        </w:rPr>
        <w:footnoteRef/>
      </w:r>
      <w:r>
        <w:t xml:space="preserve"> Considering that SDG&amp;E only has one LCA, load is modeled by industry instead, to facilitate applying industry specific cross price </w:t>
      </w:r>
      <w:proofErr w:type="spellStart"/>
      <w:r>
        <w:t>elasticities</w:t>
      </w:r>
      <w:proofErr w:type="spellEnd"/>
      <w:r>
        <w:t xml:space="preserve"> to estimate percent reductions.</w:t>
      </w:r>
    </w:p>
  </w:footnote>
  <w:footnote w:id="15">
    <w:p w:rsidR="00F75CE5" w:rsidRDefault="00F75CE5">
      <w:pPr>
        <w:pStyle w:val="FootnoteText"/>
      </w:pPr>
      <w:r>
        <w:rPr>
          <w:rStyle w:val="FootnoteReference"/>
        </w:rPr>
        <w:footnoteRef/>
      </w:r>
      <w:r>
        <w:t xml:space="preserve"> I</w:t>
      </w:r>
      <w:r w:rsidRPr="00D6331F">
        <w:t xml:space="preserve">nterim report on Sacramento Municipal Utility District’s Smart Pricing Options pilot:  </w:t>
      </w:r>
      <w:hyperlink r:id="rId1" w:history="1">
        <w:r w:rsidRPr="003D0450">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16">
    <w:p w:rsidR="00F75CE5" w:rsidRDefault="00F75CE5" w:rsidP="006A7080">
      <w:pPr>
        <w:pStyle w:val="FootnoteText"/>
      </w:pPr>
      <w:r>
        <w:rPr>
          <w:rStyle w:val="FootnoteReference"/>
        </w:rPr>
        <w:footnoteRef/>
      </w:r>
      <w:r>
        <w:t xml:space="preserve"> </w:t>
      </w:r>
      <w:r w:rsidRPr="00F42460">
        <w:t>See CPUC Rulemaking (R.) 07-01-041 Decision (D.) 08-04-050, “Adopting Protocols for Estimating Demand Response Load Impacts” and Attachment A, “Protocols.”</w:t>
      </w:r>
    </w:p>
  </w:footnote>
  <w:footnote w:id="17">
    <w:p w:rsidR="00F75CE5" w:rsidRDefault="00F75CE5" w:rsidP="006A7080">
      <w:pPr>
        <w:pStyle w:val="FootnoteText"/>
      </w:pPr>
      <w:r>
        <w:rPr>
          <w:rStyle w:val="FootnoteReference"/>
        </w:rPr>
        <w:footnoteRef/>
      </w:r>
      <w:r>
        <w:t xml:space="preserve"> See </w:t>
      </w:r>
      <w:r w:rsidRPr="00633D7C">
        <w:rPr>
          <w:i/>
        </w:rPr>
        <w:t>Statewide Demand Response Ex Ante Weather Conditions</w:t>
      </w:r>
      <w:proofErr w:type="gramStart"/>
      <w:r>
        <w:t xml:space="preserve">.  </w:t>
      </w:r>
      <w:proofErr w:type="gramEnd"/>
      <w:r>
        <w:t>Nexant, Inc</w:t>
      </w:r>
      <w:proofErr w:type="gramStart"/>
      <w:r>
        <w:t xml:space="preserve">.  </w:t>
      </w:r>
      <w:proofErr w:type="gramEnd"/>
      <w:r>
        <w:t>January 30, 2015.</w:t>
      </w:r>
    </w:p>
  </w:footnote>
  <w:footnote w:id="18">
    <w:p w:rsidR="00F75CE5" w:rsidRDefault="00F75CE5">
      <w:pPr>
        <w:pStyle w:val="FootnoteText"/>
      </w:pPr>
      <w:r>
        <w:rPr>
          <w:rStyle w:val="FootnoteReference"/>
        </w:rPr>
        <w:footnoteRef/>
      </w:r>
      <w:r>
        <w:t xml:space="preserve"> Nexant ran an outlier test, which dropped some days if the impact estimates were well outside the typical range of percent impact estimates.</w:t>
      </w:r>
    </w:p>
  </w:footnote>
  <w:footnote w:id="19">
    <w:p w:rsidR="00F75CE5" w:rsidRDefault="00F75CE5" w:rsidP="006A7080">
      <w:pPr>
        <w:pStyle w:val="FootnoteText"/>
      </w:pPr>
      <w:r>
        <w:rPr>
          <w:rStyle w:val="FootnoteReference"/>
        </w:rPr>
        <w:footnoteRef/>
      </w:r>
      <w:r>
        <w:t xml:space="preserve"> Enrollment is not forecasted to change substantially between 2017 and 2025, so the interim years didn’t provide much additional information of interest</w:t>
      </w:r>
      <w:proofErr w:type="gramStart"/>
      <w:r>
        <w:t xml:space="preserve">.  </w:t>
      </w:r>
      <w:proofErr w:type="gramEnd"/>
      <w:r>
        <w:t xml:space="preserve">The electronic load impact tables contain estimates for each year over the forecast horizon.  </w:t>
      </w:r>
    </w:p>
  </w:footnote>
  <w:footnote w:id="20">
    <w:p w:rsidR="00F75CE5" w:rsidRDefault="00F75CE5" w:rsidP="006A7080">
      <w:pPr>
        <w:pStyle w:val="FootnoteText"/>
      </w:pPr>
      <w:r>
        <w:rPr>
          <w:rStyle w:val="FootnoteReference"/>
        </w:rPr>
        <w:footnoteRef/>
      </w:r>
      <w:r>
        <w:t xml:space="preserve"> Estimates based on CAISO weather scenarios have a similar pattern across months and LCAs</w:t>
      </w:r>
      <w:proofErr w:type="gramStart"/>
      <w:r>
        <w:t xml:space="preserve">.  </w:t>
      </w:r>
      <w:proofErr w:type="gramEnd"/>
      <w:r>
        <w:t>These values can be obtained from the electronic load impact tables that were submitted along with this report.</w:t>
      </w:r>
    </w:p>
  </w:footnote>
  <w:footnote w:id="21">
    <w:p w:rsidR="00F75CE5" w:rsidRDefault="00F75CE5" w:rsidP="00727F75">
      <w:pPr>
        <w:pStyle w:val="FootnoteText"/>
      </w:pPr>
      <w:r>
        <w:rPr>
          <w:rStyle w:val="FootnoteReference"/>
        </w:rPr>
        <w:footnoteRef/>
      </w:r>
      <w:r>
        <w:t xml:space="preserve"> I</w:t>
      </w:r>
      <w:r w:rsidRPr="00D6331F">
        <w:t xml:space="preserve">nterim report on Sacramento Municipal Utility District’s Smart Pricing Options pilot:  </w:t>
      </w:r>
      <w:hyperlink r:id="rId2" w:history="1">
        <w:r w:rsidRPr="003D0450">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22">
    <w:p w:rsidR="00F75CE5" w:rsidRDefault="00F75CE5" w:rsidP="00D015F2">
      <w:pPr>
        <w:pStyle w:val="FootnoteText"/>
      </w:pPr>
      <w:r>
        <w:rPr>
          <w:rStyle w:val="FootnoteReference"/>
        </w:rPr>
        <w:footnoteRef/>
      </w:r>
      <w:r>
        <w:t xml:space="preserve"> Estimates based on CAISO weather scenarios have a similar pattern across months and LCAs</w:t>
      </w:r>
      <w:proofErr w:type="gramStart"/>
      <w:r>
        <w:t xml:space="preserve">.  </w:t>
      </w:r>
      <w:proofErr w:type="gramEnd"/>
      <w:r>
        <w:t>These values can be obtained from the electronic load impact tables that were submitted along with this report.</w:t>
      </w:r>
    </w:p>
  </w:footnote>
  <w:footnote w:id="23">
    <w:p w:rsidR="00F75CE5" w:rsidRDefault="00F75CE5" w:rsidP="0099298D">
      <w:pPr>
        <w:pStyle w:val="FootnoteText"/>
      </w:pPr>
      <w:r>
        <w:rPr>
          <w:rStyle w:val="FootnoteReference"/>
        </w:rPr>
        <w:footnoteRef/>
      </w:r>
      <w:r>
        <w:t xml:space="preserve"> Estimates based on CAISO weather scenarios have a similar pattern across months and LCAs</w:t>
      </w:r>
      <w:proofErr w:type="gramStart"/>
      <w:r>
        <w:t xml:space="preserve">.  </w:t>
      </w:r>
      <w:proofErr w:type="gramEnd"/>
      <w:r>
        <w:t>These values can be obtained from the electronic load impact tables that were submitted along with this report.</w:t>
      </w:r>
    </w:p>
  </w:footnote>
  <w:footnote w:id="24">
    <w:p w:rsidR="00F75CE5" w:rsidRDefault="00F75CE5" w:rsidP="009A283D">
      <w:pPr>
        <w:pStyle w:val="Footnote"/>
      </w:pPr>
      <w:r>
        <w:rPr>
          <w:rStyle w:val="FootnoteReference"/>
        </w:rPr>
        <w:footnoteRef/>
      </w:r>
      <w:r>
        <w:t xml:space="preserve"> Since impacts were estimated for 12 events with 90% confidence bands, there is a 72% chance that at least one event is significantly different from the average.</w:t>
      </w:r>
    </w:p>
  </w:footnote>
  <w:footnote w:id="25">
    <w:p w:rsidR="00F75CE5" w:rsidRDefault="00F75CE5" w:rsidP="009A283D">
      <w:pPr>
        <w:pStyle w:val="FootnoteText"/>
      </w:pPr>
      <w:r>
        <w:rPr>
          <w:rStyle w:val="FootnoteReference"/>
        </w:rPr>
        <w:footnoteRef/>
      </w:r>
      <w:r>
        <w:t xml:space="preserve"> Enrollment is not forecasted to change substantially between 2017 and 2025 for large customers, so the interim years didn’t provide much additional information of interest</w:t>
      </w:r>
      <w:proofErr w:type="gramStart"/>
      <w:r>
        <w:t xml:space="preserve">.  </w:t>
      </w:r>
      <w:proofErr w:type="gramEnd"/>
      <w:r>
        <w:t xml:space="preserve">The electronic load impact tables contain estimates for each year over the forecast horizon.  </w:t>
      </w:r>
    </w:p>
  </w:footnote>
  <w:footnote w:id="26">
    <w:p w:rsidR="00F75CE5" w:rsidRDefault="00F75CE5" w:rsidP="009A283D">
      <w:pPr>
        <w:pStyle w:val="FootnoteText"/>
      </w:pPr>
      <w:r>
        <w:rPr>
          <w:rStyle w:val="FootnoteReference"/>
        </w:rPr>
        <w:footnoteRef/>
      </w:r>
      <w:r>
        <w:t xml:space="preserve"> Estimates based on CAISO weather scenarios have a similar pattern across months and LCAs</w:t>
      </w:r>
      <w:proofErr w:type="gramStart"/>
      <w:r>
        <w:t xml:space="preserve">.  </w:t>
      </w:r>
      <w:proofErr w:type="gramEnd"/>
      <w:r>
        <w:t>These values can be obtained from the electronic load impact tables that were submitted along with this report.</w:t>
      </w:r>
    </w:p>
  </w:footnote>
  <w:footnote w:id="27">
    <w:p w:rsidR="00F75CE5" w:rsidRDefault="00F75CE5" w:rsidP="009A283D">
      <w:pPr>
        <w:pStyle w:val="FootnoteText"/>
      </w:pPr>
      <w:r>
        <w:rPr>
          <w:rStyle w:val="FootnoteReference"/>
        </w:rPr>
        <w:footnoteRef/>
      </w:r>
      <w:r>
        <w:t xml:space="preserve"> I</w:t>
      </w:r>
      <w:r w:rsidRPr="00D6331F">
        <w:t xml:space="preserve">nterim report on Sacramento Municipal Utility District’s Smart Pricing Options pilot:  </w:t>
      </w:r>
      <w:hyperlink r:id="rId3" w:history="1">
        <w:r w:rsidRPr="003D0450">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28">
    <w:p w:rsidR="00F75CE5" w:rsidRDefault="00F75CE5" w:rsidP="009A283D">
      <w:pPr>
        <w:pStyle w:val="FootnoteText"/>
      </w:pPr>
      <w:r>
        <w:rPr>
          <w:rStyle w:val="FootnoteReference"/>
        </w:rPr>
        <w:footnoteRef/>
      </w:r>
      <w:r>
        <w:t xml:space="preserve"> Estimates based on CAISO weather scenarios have a similar pattern across months and transmission planning areas</w:t>
      </w:r>
      <w:proofErr w:type="gramStart"/>
      <w:r>
        <w:t xml:space="preserve">.  </w:t>
      </w:r>
      <w:proofErr w:type="gramEnd"/>
      <w:r>
        <w:t>These values can be obtained from the electronic load impact tables that were submitted along with this report.</w:t>
      </w:r>
    </w:p>
  </w:footnote>
  <w:footnote w:id="29">
    <w:p w:rsidR="00F75CE5" w:rsidRDefault="00F75CE5" w:rsidP="009A283D">
      <w:pPr>
        <w:pStyle w:val="FootnoteText"/>
      </w:pPr>
      <w:r>
        <w:rPr>
          <w:rStyle w:val="FootnoteReference"/>
        </w:rPr>
        <w:footnoteRef/>
      </w:r>
      <w:r>
        <w:t xml:space="preserve"> Estimates based on CAISO weather scenarios have a similar pattern across months and LCAs</w:t>
      </w:r>
      <w:proofErr w:type="gramStart"/>
      <w:r>
        <w:t xml:space="preserve">.  </w:t>
      </w:r>
      <w:proofErr w:type="gramEnd"/>
      <w:r>
        <w:t>These values can be obtained from the electronic load impact tables that were submitted along with this report.</w:t>
      </w:r>
    </w:p>
  </w:footnote>
  <w:footnote w:id="30">
    <w:p w:rsidR="00F75CE5" w:rsidRDefault="00F75CE5" w:rsidP="009A283D">
      <w:pPr>
        <w:pStyle w:val="FootnoteText"/>
      </w:pPr>
      <w:r>
        <w:rPr>
          <w:rStyle w:val="FootnoteReference"/>
        </w:rPr>
        <w:footnoteRef/>
      </w:r>
      <w:r>
        <w:t xml:space="preserve"> Enrollment is set to increase gradually between 2016 and 2025, in the same fashion as it does between 2015 and 2016, so the interim years don’t provide much additional information of interest</w:t>
      </w:r>
      <w:proofErr w:type="gramStart"/>
      <w:r>
        <w:t xml:space="preserve">.  </w:t>
      </w:r>
      <w:proofErr w:type="gramEnd"/>
      <w:r>
        <w:t>The electronic load impact tables contain estimates for each year over the forecast horizon.</w:t>
      </w:r>
    </w:p>
  </w:footnote>
  <w:footnote w:id="31">
    <w:p w:rsidR="00F75CE5" w:rsidRDefault="00F75CE5" w:rsidP="009A283D">
      <w:pPr>
        <w:pStyle w:val="FootnoteText"/>
      </w:pPr>
      <w:r>
        <w:rPr>
          <w:rStyle w:val="FootnoteReference"/>
        </w:rPr>
        <w:footnoteRef/>
      </w:r>
      <w:r>
        <w:t xml:space="preserve"> For ex ante estimation, SDG&amp;E split its existing default CPP population into medium and large customers</w:t>
      </w:r>
      <w:proofErr w:type="gramStart"/>
      <w:r>
        <w:t xml:space="preserve">.  </w:t>
      </w:r>
      <w:proofErr w:type="gramEnd"/>
      <w:r>
        <w:t>In contrast, ex post impacts were reported for all default CPP customers.</w:t>
      </w:r>
    </w:p>
  </w:footnote>
  <w:footnote w:id="32">
    <w:p w:rsidR="00F75CE5" w:rsidRDefault="00F75CE5" w:rsidP="00824191">
      <w:pPr>
        <w:pStyle w:val="FootnoteText"/>
      </w:pPr>
      <w:r>
        <w:rPr>
          <w:rStyle w:val="FootnoteReference"/>
        </w:rPr>
        <w:footnoteRef/>
      </w:r>
      <w:r>
        <w:t xml:space="preserve"> I</w:t>
      </w:r>
      <w:r w:rsidRPr="00D6331F">
        <w:t xml:space="preserve">nterim report on Sacramento Municipal Utility District’s Smart Pricing Options pilot:  </w:t>
      </w:r>
      <w:hyperlink r:id="rId4" w:history="1">
        <w:r w:rsidRPr="003D0450">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33">
    <w:p w:rsidR="00F75CE5" w:rsidRDefault="00F75CE5" w:rsidP="006A7080">
      <w:pPr>
        <w:pStyle w:val="Footnote"/>
      </w:pPr>
      <w:r>
        <w:rPr>
          <w:rStyle w:val="FootnoteReference"/>
        </w:rPr>
        <w:footnoteRef/>
      </w:r>
      <w:r>
        <w:t xml:space="preserve"> In practice, this term is absorbed by the time effects, but it is useful for representing the model logic.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Default="00F75CE5">
    <w:pPr>
      <w:pStyle w:val="Header"/>
    </w:pPr>
    <w:r>
      <w:rPr>
        <w:noProof/>
      </w:rPr>
      <mc:AlternateContent>
        <mc:Choice Requires="wps">
          <w:drawing>
            <wp:inline distT="0" distB="0" distL="0" distR="0" wp14:anchorId="1C5584CC" wp14:editId="17D44CB2">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5f497a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A53758" w:rsidRDefault="00F75CE5" w:rsidP="00517952">
    <w:pPr>
      <w:pStyle w:val="Heading1"/>
      <w:numPr>
        <w:ilvl w:val="0"/>
        <w:numId w:val="0"/>
      </w:numPr>
      <w:rPr>
        <w:b w:val="0"/>
        <w:color w:val="77BC1F"/>
        <w:sz w:val="36"/>
        <w:szCs w:val="36"/>
      </w:rPr>
    </w:pPr>
    <w:r w:rsidRPr="00AC6369">
      <w:rPr>
        <w:noProof/>
      </w:rPr>
      <w:drawing>
        <wp:anchor distT="0" distB="0" distL="114300" distR="114300" simplePos="0" relativeHeight="251675648" behindDoc="0" locked="0" layoutInCell="1" allowOverlap="1" wp14:anchorId="468F0030" wp14:editId="7706FBC3">
          <wp:simplePos x="0" y="0"/>
          <wp:positionH relativeFrom="column">
            <wp:posOffset>3828234</wp:posOffset>
          </wp:positionH>
          <wp:positionV relativeFrom="paragraph">
            <wp:posOffset>-195580</wp:posOffset>
          </wp:positionV>
          <wp:extent cx="1839767" cy="669471"/>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517952">
      <w:rPr>
        <w:color w:val="77BC1F"/>
        <w:sz w:val="32"/>
        <w:szCs w:val="32"/>
      </w:rPr>
      <w:t xml:space="preserve"> </w:t>
    </w:r>
    <w:r w:rsidRPr="008B3E1E">
      <w:rPr>
        <w:color w:val="77BC1F"/>
        <w:sz w:val="40"/>
        <w:szCs w:val="40"/>
      </w:rPr>
      <w:t>REPORT</w:t>
    </w:r>
    <w:r w:rsidRPr="00A53758">
      <w:rPr>
        <w:color w:val="77BC1F"/>
        <w:sz w:val="36"/>
        <w:szCs w:val="36"/>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AC6369" w:rsidRDefault="00F75CE5" w:rsidP="00AC6369">
    <w:r w:rsidRPr="00AC6369">
      <w:rPr>
        <w:noProof/>
      </w:rPr>
      <w:drawing>
        <wp:anchor distT="0" distB="0" distL="114300" distR="114300" simplePos="0" relativeHeight="251674624" behindDoc="0" locked="0" layoutInCell="1" allowOverlap="1" wp14:anchorId="1EF2F1E3" wp14:editId="6936592B">
          <wp:simplePos x="0" y="0"/>
          <wp:positionH relativeFrom="column">
            <wp:posOffset>3185160</wp:posOffset>
          </wp:positionH>
          <wp:positionV relativeFrom="paragraph">
            <wp:posOffset>-430340</wp:posOffset>
          </wp:positionV>
          <wp:extent cx="3429000" cy="1247775"/>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845265" w:rsidRDefault="00F75CE5" w:rsidP="002F58AD">
    <w:pPr>
      <w:pStyle w:val="Footnote"/>
      <w:rPr>
        <w:rFonts w:asciiTheme="minorHAnsi" w:hAnsiTheme="minorHAnsi" w:cstheme="min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Default="00F75CE5" w:rsidP="00B50663">
    <w:pPr>
      <w:pStyle w:val="Header"/>
      <w:jc w:val="center"/>
    </w:pPr>
    <w:r w:rsidRPr="00E92F4E">
      <w:rPr>
        <w:noProof/>
      </w:rPr>
      <w:drawing>
        <wp:inline distT="0" distB="0" distL="0" distR="0" wp14:anchorId="6338730D" wp14:editId="07A2B43C">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1738A7" w:rsidRDefault="00F75CE5" w:rsidP="00845265">
    <w:pPr>
      <w:pStyle w:val="Header"/>
      <w:rPr>
        <w:rFonts w:cs="Arial"/>
      </w:rPr>
    </w:pPr>
    <w:r w:rsidRPr="001738A7">
      <w:rPr>
        <w:rFonts w:cs="Arial"/>
      </w:rPr>
      <w:fldChar w:fldCharType="begin"/>
    </w:r>
    <w:r w:rsidRPr="001738A7">
      <w:rPr>
        <w:rFonts w:cs="Arial"/>
      </w:rPr>
      <w:instrText xml:space="preserve"> STYLEREF  "Heading 1" </w:instrText>
    </w:r>
    <w:r w:rsidRPr="001738A7">
      <w:rPr>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Executive Summary</w:t>
    </w:r>
    <w:r>
      <w:rPr>
        <w:rFonts w:asciiTheme="minorHAnsi" w:hAnsiTheme="minorHAnsi" w:cstheme="minorHAnsi"/>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PG&amp;E Ex Post Load Impacts</w:t>
    </w:r>
    <w:r>
      <w:rPr>
        <w:rFonts w:asciiTheme="minorHAnsi" w:hAnsiTheme="minorHAnsi" w:cstheme="minorHAnsi"/>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PG&amp;E Ex Ante Load Impacts</w:t>
    </w:r>
    <w:r>
      <w:rPr>
        <w:rFonts w:asciiTheme="minorHAnsi" w:hAnsiTheme="minorHAnsi" w:cstheme="minorHAnsi"/>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SCE Ex Post Load Impacts</w:t>
    </w:r>
    <w:r>
      <w:rPr>
        <w:rFonts w:asciiTheme="minorHAnsi" w:hAnsiTheme="minorHAnsi" w:cstheme="minorHAnsi"/>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SCE Ex Ante Load Impacts</w:t>
    </w:r>
    <w:r>
      <w:rPr>
        <w:rFonts w:asciiTheme="minorHAnsi" w:hAnsiTheme="minorHAnsi" w:cstheme="minorHAnsi"/>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SCE Ex Ante Load Impacts</w:t>
    </w:r>
    <w:r>
      <w:rPr>
        <w:rFonts w:asciiTheme="minorHAnsi" w:hAnsiTheme="minorHAnsi" w:cstheme="minorHAnsi"/>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tabs>
        <w:tab w:val="clear" w:pos="4320"/>
        <w:tab w:val="center" w:pos="4500"/>
      </w:tabs>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SDG&amp;E Ex Post Load Impacts</w:t>
    </w:r>
    <w:r>
      <w:rPr>
        <w:rFonts w:asciiTheme="minorHAnsi" w:hAnsiTheme="minorHAnsi" w:cstheme="minorHAnsi"/>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noProof/>
      </w:rPr>
    </w:pPr>
    <w:r>
      <w:rPr>
        <w:rFonts w:asciiTheme="minorHAnsi" w:hAnsiTheme="minorHAnsi" w:cstheme="minorHAnsi"/>
        <w:noProof/>
      </w:rPr>
      <w:fldChar w:fldCharType="begin"/>
    </w:r>
    <w:r>
      <w:rPr>
        <w:rFonts w:asciiTheme="minorHAnsi" w:hAnsiTheme="minorHAnsi" w:cstheme="minorHAnsi"/>
        <w:noProof/>
      </w:rPr>
      <w:instrText xml:space="preserve"> STYLEREF  "Heading 1" </w:instrText>
    </w:r>
    <w:r>
      <w:rPr>
        <w:rFonts w:asciiTheme="minorHAnsi" w:hAnsiTheme="minorHAnsi" w:cstheme="minorHAnsi"/>
        <w:noProof/>
      </w:rPr>
      <w:fldChar w:fldCharType="separate"/>
    </w:r>
    <w:r w:rsidR="00150CBF">
      <w:rPr>
        <w:rFonts w:asciiTheme="minorHAnsi" w:hAnsiTheme="minorHAnsi" w:cstheme="minorHAnsi"/>
        <w:noProof/>
      </w:rPr>
      <w:t>SDG&amp;E Ex Post Load Impacts</w:t>
    </w:r>
    <w:r>
      <w:rPr>
        <w:rFonts w:asciiTheme="minorHAnsi" w:hAnsiTheme="minorHAnsi" w:cstheme="minorHAnsi"/>
        <w:noProof/>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6E5178" w:rsidRDefault="00F75CE5"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150CBF">
      <w:rPr>
        <w:rFonts w:asciiTheme="minorHAnsi" w:hAnsiTheme="minorHAnsi" w:cstheme="minorHAnsi"/>
        <w:noProof/>
      </w:rPr>
      <w:t>SDG&amp;E Ex Ante Load Impacts</w:t>
    </w:r>
    <w:r>
      <w:rPr>
        <w:rFonts w:asciiTheme="minorHAnsi" w:hAnsiTheme="minorHAnsi" w:cstheme="minorHAnsi"/>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0CBF" w:rsidRPr="006E5178" w:rsidRDefault="00150CBF"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Pr>
        <w:rFonts w:asciiTheme="minorHAnsi" w:hAnsiTheme="minorHAnsi" w:cstheme="minorHAnsi"/>
        <w:noProof/>
      </w:rPr>
      <w:t>Recommendations</w:t>
    </w:r>
    <w:r>
      <w:rPr>
        <w:rFonts w:asciiTheme="minorHAnsi" w:hAnsiTheme="minorHAnsi" w:cstheme="minorHAnsi"/>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0CBF" w:rsidRPr="006E5178" w:rsidRDefault="00150CBF" w:rsidP="003B398F">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"Appendix Heading" </w:instrText>
    </w:r>
    <w:r>
      <w:rPr>
        <w:rFonts w:asciiTheme="minorHAnsi" w:hAnsiTheme="minorHAnsi" w:cstheme="minorHAnsi"/>
      </w:rPr>
      <w:fldChar w:fldCharType="separate"/>
    </w:r>
    <w:r>
      <w:rPr>
        <w:rFonts w:asciiTheme="minorHAnsi" w:hAnsiTheme="minorHAnsi" w:cstheme="minorHAnsi"/>
        <w:noProof/>
      </w:rPr>
      <w:t xml:space="preserve">Matching Model Selection Summary Statistics </w:t>
    </w:r>
    <w:r>
      <w:rPr>
        <w:rFonts w:asciiTheme="minorHAnsi" w:hAnsiTheme="minorHAnsi" w:cstheme="minorHAnsi"/>
        <w:noProof/>
      </w:rPr>
      <w:br/>
      <w:t>and Rankings</w:t>
    </w:r>
    <w:r>
      <w:rPr>
        <w:rFonts w:asciiTheme="minorHAnsi" w:hAnsiTheme="minorHAnsi" w:cstheme="minorHAnsi"/>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5CE5" w:rsidRPr="00845265" w:rsidRDefault="00F75CE5" w:rsidP="00845265">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"Appendix Heading" </w:instrText>
    </w:r>
    <w:r>
      <w:rPr>
        <w:rFonts w:asciiTheme="minorHAnsi" w:hAnsiTheme="minorHAnsi" w:cstheme="minorHAnsi"/>
      </w:rPr>
      <w:fldChar w:fldCharType="separate"/>
    </w:r>
    <w:r w:rsidR="00150CBF">
      <w:rPr>
        <w:rFonts w:asciiTheme="minorHAnsi" w:hAnsiTheme="minorHAnsi" w:cstheme="minorHAnsi"/>
        <w:noProof/>
      </w:rPr>
      <w:t>Ex Ante Percent Load Impact Regression Specification</w:t>
    </w:r>
    <w:r>
      <w:rPr>
        <w:rFonts w:asciiTheme="minorHAnsi" w:hAnsiTheme="minorHAnsi" w:cstheme="minorHAnsi"/>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16276"/>
    <w:multiLevelType w:val="hybridMultilevel"/>
    <w:tmpl w:val="C7F237B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3F33D8"/>
    <w:multiLevelType w:val="hybridMultilevel"/>
    <w:tmpl w:val="61346B64"/>
    <w:lvl w:ilvl="0" w:tplc="FFFFFFFF">
      <w:start w:val="1"/>
      <w:numFmt w:val="bullet"/>
      <w:pStyle w:val="Bullet"/>
      <w:lvlText w:val=""/>
      <w:lvlJc w:val="left"/>
      <w:pPr>
        <w:tabs>
          <w:tab w:val="num" w:pos="720"/>
        </w:tabs>
        <w:ind w:left="720" w:hanging="360"/>
      </w:pPr>
      <w:rPr>
        <w:rFonts w:ascii="Wingdings" w:hAnsi="Wingdings" w:hint="default"/>
        <w:color w:val="433B67"/>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6A593E"/>
    <w:multiLevelType w:val="hybridMultilevel"/>
    <w:tmpl w:val="15DC166E"/>
    <w:lvl w:ilvl="0" w:tplc="BB7E7A98">
      <w:start w:val="1"/>
      <w:numFmt w:val="bullet"/>
      <w:pStyle w:val="Bullets"/>
      <w:lvlText w:val=""/>
      <w:lvlJc w:val="left"/>
      <w:pPr>
        <w:tabs>
          <w:tab w:val="num" w:pos="720"/>
        </w:tabs>
        <w:ind w:left="72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AF52DC"/>
    <w:multiLevelType w:val="hybridMultilevel"/>
    <w:tmpl w:val="22F436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674708"/>
    <w:multiLevelType w:val="hybridMultilevel"/>
    <w:tmpl w:val="97D431F6"/>
    <w:lvl w:ilvl="0" w:tplc="49709C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B2170B"/>
    <w:multiLevelType w:val="hybridMultilevel"/>
    <w:tmpl w:val="14F2F8EE"/>
    <w:lvl w:ilvl="0" w:tplc="0A3C0C08">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E2F1A98"/>
    <w:multiLevelType w:val="hybridMultilevel"/>
    <w:tmpl w:val="EB9667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AD5E5C"/>
    <w:multiLevelType w:val="hybridMultilevel"/>
    <w:tmpl w:val="98321C5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32C0D84"/>
    <w:multiLevelType w:val="hybridMultilevel"/>
    <w:tmpl w:val="4A7AA9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0E263D"/>
    <w:multiLevelType w:val="multilevel"/>
    <w:tmpl w:val="803C23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29EB5EBB"/>
    <w:multiLevelType w:val="hybridMultilevel"/>
    <w:tmpl w:val="EFAE6706"/>
    <w:lvl w:ilvl="0" w:tplc="0409000F">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C8C2615"/>
    <w:multiLevelType w:val="hybridMultilevel"/>
    <w:tmpl w:val="7E7E46F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F201075"/>
    <w:multiLevelType w:val="hybridMultilevel"/>
    <w:tmpl w:val="0F14E592"/>
    <w:lvl w:ilvl="0" w:tplc="04090001">
      <w:start w:val="2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5C17E3F"/>
    <w:multiLevelType w:val="hybridMultilevel"/>
    <w:tmpl w:val="046A8F5E"/>
    <w:lvl w:ilvl="0" w:tplc="52329E2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E845415"/>
    <w:multiLevelType w:val="hybridMultilevel"/>
    <w:tmpl w:val="E230FF58"/>
    <w:lvl w:ilvl="0" w:tplc="9FE46864">
      <w:start w:val="1"/>
      <w:numFmt w:val="bullet"/>
      <w:lvlText w:val=""/>
      <w:lvlJc w:val="left"/>
      <w:pPr>
        <w:tabs>
          <w:tab w:val="num" w:pos="720"/>
        </w:tabs>
        <w:ind w:left="720" w:hanging="360"/>
      </w:pPr>
      <w:rPr>
        <w:rFonts w:ascii="Wingdings" w:hAnsi="Wingdings" w:hint="default"/>
      </w:rPr>
    </w:lvl>
    <w:lvl w:ilvl="1" w:tplc="590ED13C">
      <w:start w:val="1"/>
      <w:numFmt w:val="bullet"/>
      <w:lvlText w:val=""/>
      <w:lvlJc w:val="left"/>
      <w:pPr>
        <w:tabs>
          <w:tab w:val="num" w:pos="1440"/>
        </w:tabs>
        <w:ind w:left="1440" w:hanging="360"/>
      </w:pPr>
      <w:rPr>
        <w:rFonts w:ascii="Wingdings" w:hAnsi="Wingdings" w:hint="default"/>
      </w:rPr>
    </w:lvl>
    <w:lvl w:ilvl="2" w:tplc="6B40DA78" w:tentative="1">
      <w:start w:val="1"/>
      <w:numFmt w:val="bullet"/>
      <w:lvlText w:val=""/>
      <w:lvlJc w:val="left"/>
      <w:pPr>
        <w:tabs>
          <w:tab w:val="num" w:pos="2160"/>
        </w:tabs>
        <w:ind w:left="2160" w:hanging="360"/>
      </w:pPr>
      <w:rPr>
        <w:rFonts w:ascii="Wingdings" w:hAnsi="Wingdings" w:hint="default"/>
      </w:rPr>
    </w:lvl>
    <w:lvl w:ilvl="3" w:tplc="E27EB510" w:tentative="1">
      <w:start w:val="1"/>
      <w:numFmt w:val="bullet"/>
      <w:lvlText w:val=""/>
      <w:lvlJc w:val="left"/>
      <w:pPr>
        <w:tabs>
          <w:tab w:val="num" w:pos="2880"/>
        </w:tabs>
        <w:ind w:left="2880" w:hanging="360"/>
      </w:pPr>
      <w:rPr>
        <w:rFonts w:ascii="Wingdings" w:hAnsi="Wingdings" w:hint="default"/>
      </w:rPr>
    </w:lvl>
    <w:lvl w:ilvl="4" w:tplc="A0AC76C4" w:tentative="1">
      <w:start w:val="1"/>
      <w:numFmt w:val="bullet"/>
      <w:lvlText w:val=""/>
      <w:lvlJc w:val="left"/>
      <w:pPr>
        <w:tabs>
          <w:tab w:val="num" w:pos="3600"/>
        </w:tabs>
        <w:ind w:left="3600" w:hanging="360"/>
      </w:pPr>
      <w:rPr>
        <w:rFonts w:ascii="Wingdings" w:hAnsi="Wingdings" w:hint="default"/>
      </w:rPr>
    </w:lvl>
    <w:lvl w:ilvl="5" w:tplc="9BB84AF0" w:tentative="1">
      <w:start w:val="1"/>
      <w:numFmt w:val="bullet"/>
      <w:lvlText w:val=""/>
      <w:lvlJc w:val="left"/>
      <w:pPr>
        <w:tabs>
          <w:tab w:val="num" w:pos="4320"/>
        </w:tabs>
        <w:ind w:left="4320" w:hanging="360"/>
      </w:pPr>
      <w:rPr>
        <w:rFonts w:ascii="Wingdings" w:hAnsi="Wingdings" w:hint="default"/>
      </w:rPr>
    </w:lvl>
    <w:lvl w:ilvl="6" w:tplc="66E4B77A" w:tentative="1">
      <w:start w:val="1"/>
      <w:numFmt w:val="bullet"/>
      <w:lvlText w:val=""/>
      <w:lvlJc w:val="left"/>
      <w:pPr>
        <w:tabs>
          <w:tab w:val="num" w:pos="5040"/>
        </w:tabs>
        <w:ind w:left="5040" w:hanging="360"/>
      </w:pPr>
      <w:rPr>
        <w:rFonts w:ascii="Wingdings" w:hAnsi="Wingdings" w:hint="default"/>
      </w:rPr>
    </w:lvl>
    <w:lvl w:ilvl="7" w:tplc="647697E4" w:tentative="1">
      <w:start w:val="1"/>
      <w:numFmt w:val="bullet"/>
      <w:lvlText w:val=""/>
      <w:lvlJc w:val="left"/>
      <w:pPr>
        <w:tabs>
          <w:tab w:val="num" w:pos="5760"/>
        </w:tabs>
        <w:ind w:left="5760" w:hanging="360"/>
      </w:pPr>
      <w:rPr>
        <w:rFonts w:ascii="Wingdings" w:hAnsi="Wingdings" w:hint="default"/>
      </w:rPr>
    </w:lvl>
    <w:lvl w:ilvl="8" w:tplc="A4B2B336" w:tentative="1">
      <w:start w:val="1"/>
      <w:numFmt w:val="bullet"/>
      <w:lvlText w:val=""/>
      <w:lvlJc w:val="left"/>
      <w:pPr>
        <w:tabs>
          <w:tab w:val="num" w:pos="6480"/>
        </w:tabs>
        <w:ind w:left="6480" w:hanging="360"/>
      </w:pPr>
      <w:rPr>
        <w:rFonts w:ascii="Wingdings" w:hAnsi="Wingdings" w:hint="default"/>
      </w:rPr>
    </w:lvl>
  </w:abstractNum>
  <w:abstractNum w:abstractNumId="18">
    <w:nsid w:val="4F6A6821"/>
    <w:multiLevelType w:val="hybridMultilevel"/>
    <w:tmpl w:val="1834FC3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6471CCA"/>
    <w:multiLevelType w:val="hybridMultilevel"/>
    <w:tmpl w:val="6C1CE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81430A9"/>
    <w:multiLevelType w:val="hybridMultilevel"/>
    <w:tmpl w:val="C7F237B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A0A00DD"/>
    <w:multiLevelType w:val="hybridMultilevel"/>
    <w:tmpl w:val="C7F237B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6C0D0706"/>
    <w:multiLevelType w:val="hybridMultilevel"/>
    <w:tmpl w:val="5254F30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70804020"/>
    <w:multiLevelType w:val="hybridMultilevel"/>
    <w:tmpl w:val="76BCA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1325EBB"/>
    <w:multiLevelType w:val="hybridMultilevel"/>
    <w:tmpl w:val="05A28542"/>
    <w:lvl w:ilvl="0" w:tplc="776011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B5701AD"/>
    <w:multiLevelType w:val="hybridMultilevel"/>
    <w:tmpl w:val="EBF603C0"/>
    <w:lvl w:ilvl="0" w:tplc="BEB0DCD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E985F32"/>
    <w:multiLevelType w:val="hybridMultilevel"/>
    <w:tmpl w:val="D398EA40"/>
    <w:lvl w:ilvl="0" w:tplc="CCEE7DD4">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
  </w:num>
  <w:num w:numId="2">
    <w:abstractNumId w:val="22"/>
  </w:num>
  <w:num w:numId="3">
    <w:abstractNumId w:val="11"/>
  </w:num>
  <w:num w:numId="4">
    <w:abstractNumId w:val="24"/>
  </w:num>
  <w:num w:numId="5">
    <w:abstractNumId w:val="12"/>
  </w:num>
  <w:num w:numId="6">
    <w:abstractNumId w:val="4"/>
  </w:num>
  <w:num w:numId="7">
    <w:abstractNumId w:val="2"/>
  </w:num>
  <w:num w:numId="8">
    <w:abstractNumId w:val="1"/>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23"/>
  </w:num>
  <w:num w:numId="13">
    <w:abstractNumId w:val="21"/>
  </w:num>
  <w:num w:numId="14">
    <w:abstractNumId w:val="20"/>
  </w:num>
  <w:num w:numId="15">
    <w:abstractNumId w:val="0"/>
  </w:num>
  <w:num w:numId="16">
    <w:abstractNumId w:val="15"/>
  </w:num>
  <w:num w:numId="17">
    <w:abstractNumId w:val="7"/>
  </w:num>
  <w:num w:numId="18">
    <w:abstractNumId w:val="28"/>
  </w:num>
  <w:num w:numId="19">
    <w:abstractNumId w:val="16"/>
  </w:num>
  <w:num w:numId="20">
    <w:abstractNumId w:val="27"/>
  </w:num>
  <w:num w:numId="21">
    <w:abstractNumId w:val="10"/>
  </w:num>
  <w:num w:numId="22">
    <w:abstractNumId w:val="9"/>
  </w:num>
  <w:num w:numId="23">
    <w:abstractNumId w:val="19"/>
  </w:num>
  <w:num w:numId="24">
    <w:abstractNumId w:val="18"/>
  </w:num>
  <w:num w:numId="25">
    <w:abstractNumId w:val="8"/>
  </w:num>
  <w:num w:numId="26">
    <w:abstractNumId w:val="26"/>
  </w:num>
  <w:num w:numId="27">
    <w:abstractNumId w:val="6"/>
  </w:num>
  <w:num w:numId="28">
    <w:abstractNumId w:val="13"/>
  </w:num>
  <w:num w:numId="29">
    <w:abstractNumId w:val="25"/>
  </w:num>
  <w:num w:numId="30">
    <w:abstractNumId w:val="5"/>
  </w:num>
  <w:num w:numId="31">
    <w:abstractNumId w:val="17"/>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lvlOverride w:ilvl="0">
      <w:startOverride w:val="3"/>
    </w:lvlOverride>
    <w:lvlOverride w:ilvl="1">
      <w:startOverride w:val="1"/>
    </w:lvlOverride>
    <w:lvlOverride w:ilvl="2">
      <w:startOverride w:val="2"/>
    </w:lvlOverride>
  </w:num>
  <w:num w:numId="36">
    <w:abstractNumId w:val="11"/>
    <w:lvlOverride w:ilvl="0">
      <w:startOverride w:val="3"/>
    </w:lvlOverride>
    <w:lvlOverride w:ilvl="1">
      <w:startOverride w:val="1"/>
    </w:lvlOverride>
    <w:lvlOverride w:ilvl="2">
      <w:startOverride w:val="2"/>
    </w:lvlOverride>
  </w:num>
  <w:num w:numId="37">
    <w:abstractNumId w:val="11"/>
    <w:lvlOverride w:ilvl="0">
      <w:startOverride w:val="3"/>
    </w:lvlOverride>
    <w:lvlOverride w:ilvl="1">
      <w:startOverride w:val="1"/>
    </w:lvlOverride>
    <w:lvlOverride w:ilvl="2">
      <w:startOverride w:val="2"/>
    </w:lvlOverride>
  </w:num>
  <w:num w:numId="38">
    <w:abstractNumId w:val="11"/>
    <w:lvlOverride w:ilvl="0">
      <w:startOverride w:val="3"/>
    </w:lvlOverride>
    <w:lvlOverride w:ilvl="1">
      <w:startOverride w:val="1"/>
    </w:lvlOverride>
    <w:lvlOverride w:ilvl="2">
      <w:startOverride w:val="2"/>
    </w:lvlOverride>
  </w:num>
  <w:num w:numId="39">
    <w:abstractNumId w:val="11"/>
    <w:lvlOverride w:ilvl="0">
      <w:startOverride w:val="3"/>
    </w:lvlOverride>
    <w:lvlOverride w:ilvl="1">
      <w:startOverride w:val="1"/>
    </w:lvlOverride>
    <w:lvlOverride w:ilvl="2">
      <w:startOverride w:val="4"/>
    </w:lvlOverride>
  </w:num>
  <w:num w:numId="40">
    <w:abstractNumId w:val="11"/>
    <w:lvlOverride w:ilvl="0">
      <w:startOverride w:val="3"/>
    </w:lvlOverride>
    <w:lvlOverride w:ilvl="1">
      <w:startOverride w:val="1"/>
    </w:lvlOverride>
    <w:lvlOverride w:ilvl="2">
      <w:startOverride w:val="4"/>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2049" strokecolor="#1f497d">
      <v:stroke color="#1f497d" weight="3pt"/>
      <v:shadow on="t" type="perspective" color="none [1607]" opacity=".5" offset="1pt" offset2="-1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7080"/>
    <w:rsid w:val="0000272E"/>
    <w:rsid w:val="0000306E"/>
    <w:rsid w:val="00005426"/>
    <w:rsid w:val="00006668"/>
    <w:rsid w:val="00014A86"/>
    <w:rsid w:val="00016D6E"/>
    <w:rsid w:val="00020BC6"/>
    <w:rsid w:val="00022617"/>
    <w:rsid w:val="00025D48"/>
    <w:rsid w:val="000357CA"/>
    <w:rsid w:val="000423F0"/>
    <w:rsid w:val="00042853"/>
    <w:rsid w:val="00054C6C"/>
    <w:rsid w:val="0005598B"/>
    <w:rsid w:val="0005782C"/>
    <w:rsid w:val="0006172C"/>
    <w:rsid w:val="00084248"/>
    <w:rsid w:val="00087FF8"/>
    <w:rsid w:val="00091C0F"/>
    <w:rsid w:val="0009279D"/>
    <w:rsid w:val="00094E63"/>
    <w:rsid w:val="000963B2"/>
    <w:rsid w:val="000C0967"/>
    <w:rsid w:val="000C5046"/>
    <w:rsid w:val="000D7B44"/>
    <w:rsid w:val="000E2A34"/>
    <w:rsid w:val="000E73DD"/>
    <w:rsid w:val="000F5B36"/>
    <w:rsid w:val="0010189A"/>
    <w:rsid w:val="00105674"/>
    <w:rsid w:val="00106724"/>
    <w:rsid w:val="00107177"/>
    <w:rsid w:val="00110138"/>
    <w:rsid w:val="00112253"/>
    <w:rsid w:val="001324E3"/>
    <w:rsid w:val="00132BF4"/>
    <w:rsid w:val="00134D4B"/>
    <w:rsid w:val="00137F86"/>
    <w:rsid w:val="00142ACF"/>
    <w:rsid w:val="00143965"/>
    <w:rsid w:val="00143B4D"/>
    <w:rsid w:val="00143E9F"/>
    <w:rsid w:val="0014605D"/>
    <w:rsid w:val="00150CBF"/>
    <w:rsid w:val="0015656D"/>
    <w:rsid w:val="00156F57"/>
    <w:rsid w:val="00157BFA"/>
    <w:rsid w:val="00163508"/>
    <w:rsid w:val="001738A7"/>
    <w:rsid w:val="0017517E"/>
    <w:rsid w:val="00176128"/>
    <w:rsid w:val="001837C0"/>
    <w:rsid w:val="00185D6E"/>
    <w:rsid w:val="00192C92"/>
    <w:rsid w:val="00192CF8"/>
    <w:rsid w:val="00194EF5"/>
    <w:rsid w:val="001A71A9"/>
    <w:rsid w:val="001A7673"/>
    <w:rsid w:val="001B0ACB"/>
    <w:rsid w:val="001B352B"/>
    <w:rsid w:val="001B43DF"/>
    <w:rsid w:val="001C132A"/>
    <w:rsid w:val="001C1F7B"/>
    <w:rsid w:val="001C38B7"/>
    <w:rsid w:val="001C798A"/>
    <w:rsid w:val="001D787D"/>
    <w:rsid w:val="001E0B2B"/>
    <w:rsid w:val="001E35A3"/>
    <w:rsid w:val="001E41B6"/>
    <w:rsid w:val="001E4F10"/>
    <w:rsid w:val="001E777E"/>
    <w:rsid w:val="001E7B77"/>
    <w:rsid w:val="0020552B"/>
    <w:rsid w:val="002077EA"/>
    <w:rsid w:val="002104FC"/>
    <w:rsid w:val="00213694"/>
    <w:rsid w:val="00221765"/>
    <w:rsid w:val="0022709C"/>
    <w:rsid w:val="002301A0"/>
    <w:rsid w:val="00232C4F"/>
    <w:rsid w:val="00241DC7"/>
    <w:rsid w:val="002436C1"/>
    <w:rsid w:val="0024648A"/>
    <w:rsid w:val="00250C89"/>
    <w:rsid w:val="00252FAF"/>
    <w:rsid w:val="00263CB0"/>
    <w:rsid w:val="00272C6A"/>
    <w:rsid w:val="00273FAA"/>
    <w:rsid w:val="002809A0"/>
    <w:rsid w:val="00281447"/>
    <w:rsid w:val="00281F7C"/>
    <w:rsid w:val="00283EC7"/>
    <w:rsid w:val="0028429E"/>
    <w:rsid w:val="002842C9"/>
    <w:rsid w:val="002844CF"/>
    <w:rsid w:val="00285473"/>
    <w:rsid w:val="0028548F"/>
    <w:rsid w:val="00296ADE"/>
    <w:rsid w:val="002972FE"/>
    <w:rsid w:val="002A1BB0"/>
    <w:rsid w:val="002A383D"/>
    <w:rsid w:val="002A6331"/>
    <w:rsid w:val="002A6B02"/>
    <w:rsid w:val="002B07E5"/>
    <w:rsid w:val="002B4013"/>
    <w:rsid w:val="002B652F"/>
    <w:rsid w:val="002B6B84"/>
    <w:rsid w:val="002C1988"/>
    <w:rsid w:val="002C5BF9"/>
    <w:rsid w:val="002C6CEB"/>
    <w:rsid w:val="002D073D"/>
    <w:rsid w:val="002D668B"/>
    <w:rsid w:val="002E1065"/>
    <w:rsid w:val="002E1F2E"/>
    <w:rsid w:val="002F042F"/>
    <w:rsid w:val="002F12F6"/>
    <w:rsid w:val="002F5725"/>
    <w:rsid w:val="002F58AD"/>
    <w:rsid w:val="002F6FA3"/>
    <w:rsid w:val="00305437"/>
    <w:rsid w:val="00306410"/>
    <w:rsid w:val="00306612"/>
    <w:rsid w:val="003076DE"/>
    <w:rsid w:val="00307F0C"/>
    <w:rsid w:val="00313B12"/>
    <w:rsid w:val="00317342"/>
    <w:rsid w:val="003179AA"/>
    <w:rsid w:val="0032034D"/>
    <w:rsid w:val="00332C97"/>
    <w:rsid w:val="00334712"/>
    <w:rsid w:val="00335186"/>
    <w:rsid w:val="00344753"/>
    <w:rsid w:val="00344C3B"/>
    <w:rsid w:val="00345303"/>
    <w:rsid w:val="00345A3E"/>
    <w:rsid w:val="003506C5"/>
    <w:rsid w:val="0036226B"/>
    <w:rsid w:val="00365361"/>
    <w:rsid w:val="00385706"/>
    <w:rsid w:val="00393B5B"/>
    <w:rsid w:val="00394640"/>
    <w:rsid w:val="003A0F85"/>
    <w:rsid w:val="003A4BA1"/>
    <w:rsid w:val="003B398F"/>
    <w:rsid w:val="003C3978"/>
    <w:rsid w:val="003C3C3B"/>
    <w:rsid w:val="003C53D7"/>
    <w:rsid w:val="003C5B4E"/>
    <w:rsid w:val="003C7ED2"/>
    <w:rsid w:val="003D68A0"/>
    <w:rsid w:val="003E43D8"/>
    <w:rsid w:val="003E52FB"/>
    <w:rsid w:val="003F43F6"/>
    <w:rsid w:val="003F5210"/>
    <w:rsid w:val="003F7781"/>
    <w:rsid w:val="004052D7"/>
    <w:rsid w:val="00407199"/>
    <w:rsid w:val="0041243E"/>
    <w:rsid w:val="00423629"/>
    <w:rsid w:val="00423F19"/>
    <w:rsid w:val="00424555"/>
    <w:rsid w:val="00426922"/>
    <w:rsid w:val="00427033"/>
    <w:rsid w:val="00431D88"/>
    <w:rsid w:val="00432277"/>
    <w:rsid w:val="004326B4"/>
    <w:rsid w:val="00436018"/>
    <w:rsid w:val="00455A82"/>
    <w:rsid w:val="004567F4"/>
    <w:rsid w:val="004616D4"/>
    <w:rsid w:val="0046277A"/>
    <w:rsid w:val="00464A3B"/>
    <w:rsid w:val="00474A2F"/>
    <w:rsid w:val="00492B69"/>
    <w:rsid w:val="00493991"/>
    <w:rsid w:val="00495FFF"/>
    <w:rsid w:val="004A0978"/>
    <w:rsid w:val="004B1403"/>
    <w:rsid w:val="004B170E"/>
    <w:rsid w:val="004B3E7B"/>
    <w:rsid w:val="004B50C8"/>
    <w:rsid w:val="004C53F1"/>
    <w:rsid w:val="004C60D5"/>
    <w:rsid w:val="004C74AD"/>
    <w:rsid w:val="004D101A"/>
    <w:rsid w:val="004D5FAB"/>
    <w:rsid w:val="004E01BF"/>
    <w:rsid w:val="004E5D3E"/>
    <w:rsid w:val="004F060C"/>
    <w:rsid w:val="004F2A1D"/>
    <w:rsid w:val="004F5623"/>
    <w:rsid w:val="005004FD"/>
    <w:rsid w:val="00502087"/>
    <w:rsid w:val="00502EB5"/>
    <w:rsid w:val="00504474"/>
    <w:rsid w:val="00511EAC"/>
    <w:rsid w:val="00515C44"/>
    <w:rsid w:val="00516F8B"/>
    <w:rsid w:val="00517952"/>
    <w:rsid w:val="00533ECF"/>
    <w:rsid w:val="00536267"/>
    <w:rsid w:val="00544A2F"/>
    <w:rsid w:val="00544C14"/>
    <w:rsid w:val="005461CF"/>
    <w:rsid w:val="00555CF5"/>
    <w:rsid w:val="005618D0"/>
    <w:rsid w:val="00564710"/>
    <w:rsid w:val="005657BE"/>
    <w:rsid w:val="00565A04"/>
    <w:rsid w:val="005669BB"/>
    <w:rsid w:val="005702AF"/>
    <w:rsid w:val="0057411A"/>
    <w:rsid w:val="00577956"/>
    <w:rsid w:val="00582131"/>
    <w:rsid w:val="00583885"/>
    <w:rsid w:val="005842DC"/>
    <w:rsid w:val="005851FC"/>
    <w:rsid w:val="00591536"/>
    <w:rsid w:val="005A5FCD"/>
    <w:rsid w:val="005A6ED4"/>
    <w:rsid w:val="005D003F"/>
    <w:rsid w:val="005D0EBA"/>
    <w:rsid w:val="005D3F1E"/>
    <w:rsid w:val="005D62F0"/>
    <w:rsid w:val="005D7B41"/>
    <w:rsid w:val="005E18C3"/>
    <w:rsid w:val="005E1A52"/>
    <w:rsid w:val="005E2919"/>
    <w:rsid w:val="005E2CBB"/>
    <w:rsid w:val="005F27C2"/>
    <w:rsid w:val="005F5A85"/>
    <w:rsid w:val="005F62D3"/>
    <w:rsid w:val="0061265C"/>
    <w:rsid w:val="00615336"/>
    <w:rsid w:val="00625D72"/>
    <w:rsid w:val="006331D6"/>
    <w:rsid w:val="00636540"/>
    <w:rsid w:val="00637B63"/>
    <w:rsid w:val="00640521"/>
    <w:rsid w:val="0064059D"/>
    <w:rsid w:val="00643798"/>
    <w:rsid w:val="00644448"/>
    <w:rsid w:val="006455A7"/>
    <w:rsid w:val="0066484A"/>
    <w:rsid w:val="006717E3"/>
    <w:rsid w:val="00671DF8"/>
    <w:rsid w:val="0067294A"/>
    <w:rsid w:val="0067531F"/>
    <w:rsid w:val="00675B29"/>
    <w:rsid w:val="006770E4"/>
    <w:rsid w:val="00677E01"/>
    <w:rsid w:val="00680A25"/>
    <w:rsid w:val="00681AA1"/>
    <w:rsid w:val="00685B44"/>
    <w:rsid w:val="00687C12"/>
    <w:rsid w:val="00691683"/>
    <w:rsid w:val="00693B04"/>
    <w:rsid w:val="006947D9"/>
    <w:rsid w:val="00694927"/>
    <w:rsid w:val="00697D3B"/>
    <w:rsid w:val="006A61DE"/>
    <w:rsid w:val="006A7080"/>
    <w:rsid w:val="006B0705"/>
    <w:rsid w:val="006B095A"/>
    <w:rsid w:val="006B28F0"/>
    <w:rsid w:val="006B301B"/>
    <w:rsid w:val="006B68EF"/>
    <w:rsid w:val="006B6C9A"/>
    <w:rsid w:val="006C7FDC"/>
    <w:rsid w:val="006D12DC"/>
    <w:rsid w:val="006D4C66"/>
    <w:rsid w:val="006D677D"/>
    <w:rsid w:val="006E4EA5"/>
    <w:rsid w:val="006F65F4"/>
    <w:rsid w:val="00702A03"/>
    <w:rsid w:val="0071105E"/>
    <w:rsid w:val="0071752B"/>
    <w:rsid w:val="00717FCF"/>
    <w:rsid w:val="00721E89"/>
    <w:rsid w:val="00727F75"/>
    <w:rsid w:val="007336EB"/>
    <w:rsid w:val="007439D3"/>
    <w:rsid w:val="00744453"/>
    <w:rsid w:val="00745796"/>
    <w:rsid w:val="00745B82"/>
    <w:rsid w:val="00750605"/>
    <w:rsid w:val="00752687"/>
    <w:rsid w:val="00753028"/>
    <w:rsid w:val="00757FE6"/>
    <w:rsid w:val="007606E1"/>
    <w:rsid w:val="00762318"/>
    <w:rsid w:val="00764CBF"/>
    <w:rsid w:val="007715BA"/>
    <w:rsid w:val="00782175"/>
    <w:rsid w:val="00790BCD"/>
    <w:rsid w:val="0079552D"/>
    <w:rsid w:val="0079582F"/>
    <w:rsid w:val="007A1CF2"/>
    <w:rsid w:val="007A31F4"/>
    <w:rsid w:val="007A706B"/>
    <w:rsid w:val="007B782E"/>
    <w:rsid w:val="007C29F6"/>
    <w:rsid w:val="007C7B55"/>
    <w:rsid w:val="007D2C3A"/>
    <w:rsid w:val="007D5ACD"/>
    <w:rsid w:val="007D7149"/>
    <w:rsid w:val="007D74D6"/>
    <w:rsid w:val="007E6893"/>
    <w:rsid w:val="007F078B"/>
    <w:rsid w:val="007F5235"/>
    <w:rsid w:val="007F6BEB"/>
    <w:rsid w:val="008028DC"/>
    <w:rsid w:val="00803087"/>
    <w:rsid w:val="0081314D"/>
    <w:rsid w:val="00814E0B"/>
    <w:rsid w:val="00824191"/>
    <w:rsid w:val="00824815"/>
    <w:rsid w:val="00832B87"/>
    <w:rsid w:val="00836D48"/>
    <w:rsid w:val="00845265"/>
    <w:rsid w:val="0084569F"/>
    <w:rsid w:val="00850D16"/>
    <w:rsid w:val="00850FD1"/>
    <w:rsid w:val="00851537"/>
    <w:rsid w:val="00852826"/>
    <w:rsid w:val="00855827"/>
    <w:rsid w:val="008715D6"/>
    <w:rsid w:val="00872170"/>
    <w:rsid w:val="00875B70"/>
    <w:rsid w:val="0088021E"/>
    <w:rsid w:val="00891B6B"/>
    <w:rsid w:val="00893FAF"/>
    <w:rsid w:val="00896768"/>
    <w:rsid w:val="008A2BA6"/>
    <w:rsid w:val="008A4099"/>
    <w:rsid w:val="008A5C50"/>
    <w:rsid w:val="008B39F4"/>
    <w:rsid w:val="008B3E1E"/>
    <w:rsid w:val="008B40C6"/>
    <w:rsid w:val="008C0148"/>
    <w:rsid w:val="008C10ED"/>
    <w:rsid w:val="008C2D62"/>
    <w:rsid w:val="008D3284"/>
    <w:rsid w:val="008D38B2"/>
    <w:rsid w:val="008D49AA"/>
    <w:rsid w:val="008E0B6C"/>
    <w:rsid w:val="008E6E4B"/>
    <w:rsid w:val="008F5354"/>
    <w:rsid w:val="008F5A91"/>
    <w:rsid w:val="008F5FB2"/>
    <w:rsid w:val="008F7C35"/>
    <w:rsid w:val="0090208A"/>
    <w:rsid w:val="0090466E"/>
    <w:rsid w:val="009063B1"/>
    <w:rsid w:val="0090699D"/>
    <w:rsid w:val="00916CCD"/>
    <w:rsid w:val="00933CBF"/>
    <w:rsid w:val="00941CD5"/>
    <w:rsid w:val="0094682C"/>
    <w:rsid w:val="00946C40"/>
    <w:rsid w:val="00946E21"/>
    <w:rsid w:val="009472DF"/>
    <w:rsid w:val="009551EB"/>
    <w:rsid w:val="009716F1"/>
    <w:rsid w:val="0097245D"/>
    <w:rsid w:val="009734DD"/>
    <w:rsid w:val="00981620"/>
    <w:rsid w:val="009829C3"/>
    <w:rsid w:val="00984038"/>
    <w:rsid w:val="0099298D"/>
    <w:rsid w:val="009948E5"/>
    <w:rsid w:val="009A283D"/>
    <w:rsid w:val="009A3E35"/>
    <w:rsid w:val="009B0E9B"/>
    <w:rsid w:val="009B0FD9"/>
    <w:rsid w:val="009B1FE8"/>
    <w:rsid w:val="009C0139"/>
    <w:rsid w:val="009D1147"/>
    <w:rsid w:val="009D59CA"/>
    <w:rsid w:val="009E1CA8"/>
    <w:rsid w:val="009E21D7"/>
    <w:rsid w:val="009E2C94"/>
    <w:rsid w:val="009E3548"/>
    <w:rsid w:val="009E3F2C"/>
    <w:rsid w:val="009E5475"/>
    <w:rsid w:val="00A24367"/>
    <w:rsid w:val="00A2730B"/>
    <w:rsid w:val="00A40B9A"/>
    <w:rsid w:val="00A53758"/>
    <w:rsid w:val="00A542A4"/>
    <w:rsid w:val="00A61E61"/>
    <w:rsid w:val="00A62E5F"/>
    <w:rsid w:val="00A6555F"/>
    <w:rsid w:val="00A66D41"/>
    <w:rsid w:val="00A700D8"/>
    <w:rsid w:val="00A74283"/>
    <w:rsid w:val="00A77E68"/>
    <w:rsid w:val="00A8324D"/>
    <w:rsid w:val="00A8674E"/>
    <w:rsid w:val="00A86839"/>
    <w:rsid w:val="00A9040A"/>
    <w:rsid w:val="00A945AF"/>
    <w:rsid w:val="00AB380F"/>
    <w:rsid w:val="00AB4272"/>
    <w:rsid w:val="00AB5B27"/>
    <w:rsid w:val="00AC0707"/>
    <w:rsid w:val="00AC3023"/>
    <w:rsid w:val="00AC3652"/>
    <w:rsid w:val="00AC6369"/>
    <w:rsid w:val="00AD58BD"/>
    <w:rsid w:val="00AE4E7D"/>
    <w:rsid w:val="00AE636A"/>
    <w:rsid w:val="00B0043A"/>
    <w:rsid w:val="00B05F6A"/>
    <w:rsid w:val="00B07122"/>
    <w:rsid w:val="00B07EFB"/>
    <w:rsid w:val="00B07F5F"/>
    <w:rsid w:val="00B24EF7"/>
    <w:rsid w:val="00B304ED"/>
    <w:rsid w:val="00B34237"/>
    <w:rsid w:val="00B4093B"/>
    <w:rsid w:val="00B42D18"/>
    <w:rsid w:val="00B50663"/>
    <w:rsid w:val="00B516B9"/>
    <w:rsid w:val="00B52A87"/>
    <w:rsid w:val="00B543FE"/>
    <w:rsid w:val="00B5598C"/>
    <w:rsid w:val="00B5668B"/>
    <w:rsid w:val="00B6211B"/>
    <w:rsid w:val="00B65550"/>
    <w:rsid w:val="00B704D5"/>
    <w:rsid w:val="00B7585A"/>
    <w:rsid w:val="00B770C4"/>
    <w:rsid w:val="00B77F2E"/>
    <w:rsid w:val="00B86C76"/>
    <w:rsid w:val="00B905E7"/>
    <w:rsid w:val="00BA323B"/>
    <w:rsid w:val="00BA3459"/>
    <w:rsid w:val="00BB1228"/>
    <w:rsid w:val="00BC02C6"/>
    <w:rsid w:val="00BC7E9F"/>
    <w:rsid w:val="00BD2E63"/>
    <w:rsid w:val="00BD382F"/>
    <w:rsid w:val="00BD3F25"/>
    <w:rsid w:val="00BD6DA7"/>
    <w:rsid w:val="00BD7225"/>
    <w:rsid w:val="00BE3126"/>
    <w:rsid w:val="00BF039B"/>
    <w:rsid w:val="00BF12DA"/>
    <w:rsid w:val="00C003A1"/>
    <w:rsid w:val="00C00E65"/>
    <w:rsid w:val="00C05300"/>
    <w:rsid w:val="00C053C2"/>
    <w:rsid w:val="00C1249A"/>
    <w:rsid w:val="00C2065A"/>
    <w:rsid w:val="00C2287B"/>
    <w:rsid w:val="00C33F08"/>
    <w:rsid w:val="00C37D6F"/>
    <w:rsid w:val="00C566BC"/>
    <w:rsid w:val="00C623D7"/>
    <w:rsid w:val="00C66141"/>
    <w:rsid w:val="00C67CAC"/>
    <w:rsid w:val="00C7254E"/>
    <w:rsid w:val="00C747DB"/>
    <w:rsid w:val="00C81F2C"/>
    <w:rsid w:val="00C92EB8"/>
    <w:rsid w:val="00CA0D6E"/>
    <w:rsid w:val="00CA1BF4"/>
    <w:rsid w:val="00CA2CD2"/>
    <w:rsid w:val="00CA56BD"/>
    <w:rsid w:val="00CA7949"/>
    <w:rsid w:val="00CB5473"/>
    <w:rsid w:val="00CC0C48"/>
    <w:rsid w:val="00CC2DDB"/>
    <w:rsid w:val="00CC545C"/>
    <w:rsid w:val="00CC65EA"/>
    <w:rsid w:val="00CD3085"/>
    <w:rsid w:val="00CD5369"/>
    <w:rsid w:val="00CD7AB5"/>
    <w:rsid w:val="00CE0DA6"/>
    <w:rsid w:val="00CF796B"/>
    <w:rsid w:val="00CF7B44"/>
    <w:rsid w:val="00D015F2"/>
    <w:rsid w:val="00D01C1A"/>
    <w:rsid w:val="00D04113"/>
    <w:rsid w:val="00D04A27"/>
    <w:rsid w:val="00D215C3"/>
    <w:rsid w:val="00D22E6C"/>
    <w:rsid w:val="00D23A53"/>
    <w:rsid w:val="00D267B6"/>
    <w:rsid w:val="00D34C82"/>
    <w:rsid w:val="00D4077C"/>
    <w:rsid w:val="00D536C4"/>
    <w:rsid w:val="00D53729"/>
    <w:rsid w:val="00D53A09"/>
    <w:rsid w:val="00D56C2A"/>
    <w:rsid w:val="00D571D1"/>
    <w:rsid w:val="00D62FC0"/>
    <w:rsid w:val="00D6331F"/>
    <w:rsid w:val="00D66B1C"/>
    <w:rsid w:val="00D773A3"/>
    <w:rsid w:val="00D80E42"/>
    <w:rsid w:val="00DA70E9"/>
    <w:rsid w:val="00DB35F9"/>
    <w:rsid w:val="00DC0EF5"/>
    <w:rsid w:val="00DC580B"/>
    <w:rsid w:val="00DD48FA"/>
    <w:rsid w:val="00DD6625"/>
    <w:rsid w:val="00DE2A98"/>
    <w:rsid w:val="00DE4B63"/>
    <w:rsid w:val="00DF1A08"/>
    <w:rsid w:val="00E00987"/>
    <w:rsid w:val="00E01137"/>
    <w:rsid w:val="00E027F1"/>
    <w:rsid w:val="00E32676"/>
    <w:rsid w:val="00E34559"/>
    <w:rsid w:val="00E34BD5"/>
    <w:rsid w:val="00E40D09"/>
    <w:rsid w:val="00E41191"/>
    <w:rsid w:val="00E43955"/>
    <w:rsid w:val="00E52EA4"/>
    <w:rsid w:val="00E61AB1"/>
    <w:rsid w:val="00E65224"/>
    <w:rsid w:val="00E73B03"/>
    <w:rsid w:val="00E77ECA"/>
    <w:rsid w:val="00E824F4"/>
    <w:rsid w:val="00E8660E"/>
    <w:rsid w:val="00E901F2"/>
    <w:rsid w:val="00E9273B"/>
    <w:rsid w:val="00E94106"/>
    <w:rsid w:val="00EA1C6D"/>
    <w:rsid w:val="00EA4788"/>
    <w:rsid w:val="00EB2941"/>
    <w:rsid w:val="00EB4A5C"/>
    <w:rsid w:val="00ED378E"/>
    <w:rsid w:val="00ED3E68"/>
    <w:rsid w:val="00ED61A8"/>
    <w:rsid w:val="00EE1F13"/>
    <w:rsid w:val="00EE2E65"/>
    <w:rsid w:val="00EE5649"/>
    <w:rsid w:val="00EF12DF"/>
    <w:rsid w:val="00EF13AE"/>
    <w:rsid w:val="00EF3159"/>
    <w:rsid w:val="00F0706F"/>
    <w:rsid w:val="00F155D1"/>
    <w:rsid w:val="00F179F1"/>
    <w:rsid w:val="00F20C77"/>
    <w:rsid w:val="00F211FC"/>
    <w:rsid w:val="00F24446"/>
    <w:rsid w:val="00F25968"/>
    <w:rsid w:val="00F3019B"/>
    <w:rsid w:val="00F30734"/>
    <w:rsid w:val="00F3775F"/>
    <w:rsid w:val="00F41AEC"/>
    <w:rsid w:val="00F46241"/>
    <w:rsid w:val="00F50A5A"/>
    <w:rsid w:val="00F535B2"/>
    <w:rsid w:val="00F55403"/>
    <w:rsid w:val="00F6574B"/>
    <w:rsid w:val="00F66790"/>
    <w:rsid w:val="00F74016"/>
    <w:rsid w:val="00F75CE5"/>
    <w:rsid w:val="00F86A7D"/>
    <w:rsid w:val="00F91A53"/>
    <w:rsid w:val="00F926F0"/>
    <w:rsid w:val="00F92E49"/>
    <w:rsid w:val="00F9581C"/>
    <w:rsid w:val="00F97C38"/>
    <w:rsid w:val="00FA381F"/>
    <w:rsid w:val="00FA6960"/>
    <w:rsid w:val="00FA6E8D"/>
    <w:rsid w:val="00FC0A7F"/>
    <w:rsid w:val="00FC0F66"/>
    <w:rsid w:val="00FC29E3"/>
    <w:rsid w:val="00FC48DE"/>
    <w:rsid w:val="00FC51AD"/>
    <w:rsid w:val="00FD44B5"/>
    <w:rsid w:val="00FD51F4"/>
    <w:rsid w:val="00FE1D3E"/>
    <w:rsid w:val="00FE57A6"/>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Table Professional"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uiPriority w:val="9"/>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uiPriority w:val="99"/>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uiPriority w:val="99"/>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uiPriority w:val="99"/>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6A7080"/>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nhideWhenUsed/>
    <w:rsid w:val="006A7080"/>
    <w:rPr>
      <w:sz w:val="16"/>
      <w:szCs w:val="16"/>
    </w:rPr>
  </w:style>
  <w:style w:type="paragraph" w:styleId="CommentText">
    <w:name w:val="annotation text"/>
    <w:basedOn w:val="Normal"/>
    <w:link w:val="CommentTextChar"/>
    <w:unhideWhenUsed/>
    <w:rsid w:val="006A7080"/>
    <w:pPr>
      <w:spacing w:line="240" w:lineRule="auto"/>
    </w:pPr>
    <w:rPr>
      <w:sz w:val="20"/>
      <w:szCs w:val="20"/>
    </w:rPr>
  </w:style>
  <w:style w:type="character" w:customStyle="1" w:styleId="CommentTextChar">
    <w:name w:val="Comment Text Char"/>
    <w:basedOn w:val="DefaultParagraphFont"/>
    <w:link w:val="CommentText"/>
    <w:rsid w:val="006A7080"/>
    <w:rPr>
      <w:sz w:val="20"/>
      <w:szCs w:val="20"/>
    </w:rPr>
  </w:style>
  <w:style w:type="paragraph" w:styleId="CommentSubject">
    <w:name w:val="annotation subject"/>
    <w:basedOn w:val="CommentText"/>
    <w:next w:val="CommentText"/>
    <w:link w:val="CommentSubjectChar"/>
    <w:semiHidden/>
    <w:unhideWhenUsed/>
    <w:rsid w:val="006A7080"/>
    <w:rPr>
      <w:b/>
      <w:bCs/>
    </w:rPr>
  </w:style>
  <w:style w:type="character" w:customStyle="1" w:styleId="CommentSubjectChar">
    <w:name w:val="Comment Subject Char"/>
    <w:basedOn w:val="CommentTextChar"/>
    <w:link w:val="CommentSubject"/>
    <w:semiHidden/>
    <w:rsid w:val="006A7080"/>
    <w:rPr>
      <w:b/>
      <w:bCs/>
      <w:sz w:val="20"/>
      <w:szCs w:val="20"/>
    </w:rPr>
  </w:style>
  <w:style w:type="paragraph" w:styleId="Revision">
    <w:name w:val="Revision"/>
    <w:hidden/>
    <w:uiPriority w:val="99"/>
    <w:semiHidden/>
    <w:rsid w:val="006A7080"/>
    <w:pPr>
      <w:spacing w:after="0" w:line="240" w:lineRule="auto"/>
    </w:pPr>
  </w:style>
  <w:style w:type="paragraph" w:styleId="ListParagraph">
    <w:name w:val="List Paragraph"/>
    <w:basedOn w:val="Normal"/>
    <w:uiPriority w:val="34"/>
    <w:qFormat/>
    <w:rsid w:val="006A7080"/>
    <w:pPr>
      <w:spacing w:after="0" w:line="240" w:lineRule="auto"/>
      <w:ind w:left="720"/>
    </w:pPr>
    <w:rPr>
      <w:rFonts w:ascii="Calibri" w:hAnsi="Calibri" w:cs="Calibri"/>
    </w:rPr>
  </w:style>
  <w:style w:type="paragraph" w:customStyle="1" w:styleId="Bullet">
    <w:name w:val="Bullet"/>
    <w:basedOn w:val="Normal"/>
    <w:rsid w:val="006A7080"/>
    <w:pPr>
      <w:numPr>
        <w:numId w:val="8"/>
      </w:numPr>
      <w:spacing w:after="240" w:line="240" w:lineRule="auto"/>
    </w:pPr>
    <w:rPr>
      <w:rFonts w:ascii="Arial" w:eastAsia="Times New Roman" w:hAnsi="Arial" w:cs="Times New Roman"/>
    </w:rPr>
  </w:style>
  <w:style w:type="paragraph" w:styleId="Caption">
    <w:name w:val="caption"/>
    <w:basedOn w:val="Normal"/>
    <w:next w:val="Normal"/>
    <w:link w:val="CaptionChar"/>
    <w:qFormat/>
    <w:rsid w:val="006A7080"/>
    <w:pPr>
      <w:spacing w:after="0" w:line="240" w:lineRule="auto"/>
      <w:jc w:val="center"/>
    </w:pPr>
    <w:rPr>
      <w:rFonts w:ascii="Calibri" w:eastAsia="Times New Roman" w:hAnsi="Calibri" w:cs="Times New Roman"/>
      <w:b/>
      <w:bCs/>
      <w:color w:val="FFFFFF"/>
    </w:rPr>
  </w:style>
  <w:style w:type="character" w:customStyle="1" w:styleId="CaptionChar">
    <w:name w:val="Caption Char"/>
    <w:basedOn w:val="DefaultParagraphFont"/>
    <w:link w:val="Caption"/>
    <w:locked/>
    <w:rsid w:val="006A7080"/>
    <w:rPr>
      <w:rFonts w:ascii="Calibri" w:eastAsia="Times New Roman" w:hAnsi="Calibri" w:cs="Times New Roman"/>
      <w:b/>
      <w:bCs/>
      <w:color w:val="FFFFFF"/>
    </w:rPr>
  </w:style>
  <w:style w:type="table" w:styleId="TableProfessional">
    <w:name w:val="Table Professional"/>
    <w:basedOn w:val="TableNormal"/>
    <w:rsid w:val="006A7080"/>
    <w:pPr>
      <w:spacing w:after="0" w:line="240" w:lineRule="auto"/>
    </w:pPr>
    <w:rPr>
      <w:rFonts w:ascii="Arial Narrow" w:eastAsia="Times New Roman" w:hAnsi="Arial Narrow"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NormalBold">
    <w:name w:val="Normal + Bold"/>
    <w:aliases w:val="Centered"/>
    <w:basedOn w:val="BodyParagraph"/>
    <w:rsid w:val="006A7080"/>
    <w:pPr>
      <w:spacing w:line="312" w:lineRule="auto"/>
    </w:pPr>
    <w:rPr>
      <w:rFonts w:eastAsia="Calibri" w:cs="Times New Roman"/>
      <w:color w:val="auto"/>
      <w:sz w:val="20"/>
    </w:rPr>
  </w:style>
  <w:style w:type="character" w:customStyle="1" w:styleId="CharChar1">
    <w:name w:val="Char Char1"/>
    <w:basedOn w:val="DefaultParagraphFont"/>
    <w:semiHidden/>
    <w:locked/>
    <w:rsid w:val="006A7080"/>
    <w:rPr>
      <w:rFonts w:ascii="Franklin Gothic Book" w:hAnsi="Franklin Gothic Book"/>
      <w:spacing w:val="-2"/>
      <w:lang w:val="en-US" w:eastAsia="en-US" w:bidi="ar-SA"/>
    </w:rPr>
  </w:style>
  <w:style w:type="paragraph" w:customStyle="1" w:styleId="Heading1notnumbered">
    <w:name w:val="Heading 1 not numbered"/>
    <w:basedOn w:val="Heading1"/>
    <w:rsid w:val="006A7080"/>
    <w:pPr>
      <w:numPr>
        <w:numId w:val="0"/>
      </w:numPr>
      <w:spacing w:after="240"/>
    </w:pPr>
    <w:rPr>
      <w:rFonts w:ascii="Arial Bold" w:hAnsi="Arial Bold"/>
      <w:color w:val="433B67"/>
    </w:rPr>
  </w:style>
  <w:style w:type="paragraph" w:styleId="NormalWeb">
    <w:name w:val="Normal (Web)"/>
    <w:basedOn w:val="Normal"/>
    <w:uiPriority w:val="99"/>
    <w:rsid w:val="006A7080"/>
    <w:pPr>
      <w:spacing w:before="100" w:beforeAutospacing="1" w:after="100" w:afterAutospacing="1" w:line="240" w:lineRule="auto"/>
    </w:pPr>
    <w:rPr>
      <w:rFonts w:ascii="Times New Roman" w:eastAsia="Times New Roman" w:hAnsi="Times New Roman" w:cs="Times New Roman"/>
      <w:sz w:val="29"/>
      <w:szCs w:val="29"/>
    </w:rPr>
  </w:style>
  <w:style w:type="paragraph" w:customStyle="1" w:styleId="TableCaption">
    <w:name w:val="Table Caption"/>
    <w:basedOn w:val="Caption"/>
    <w:rsid w:val="006A7080"/>
    <w:rPr>
      <w:rFonts w:ascii="Times New Roman" w:hAnsi="Times New Roman"/>
      <w:bCs w:val="0"/>
      <w:sz w:val="24"/>
      <w:szCs w:val="20"/>
    </w:rPr>
  </w:style>
  <w:style w:type="paragraph" w:customStyle="1" w:styleId="standard">
    <w:name w:val="standard"/>
    <w:basedOn w:val="Normal"/>
    <w:link w:val="standardChar"/>
    <w:rsid w:val="006A7080"/>
    <w:pPr>
      <w:spacing w:after="0" w:line="360" w:lineRule="auto"/>
      <w:ind w:firstLine="720"/>
    </w:pPr>
    <w:rPr>
      <w:rFonts w:ascii="Palatino" w:eastAsia="Times New Roman" w:hAnsi="Palatino" w:cs="Times New Roman"/>
      <w:sz w:val="26"/>
      <w:szCs w:val="20"/>
    </w:rPr>
  </w:style>
  <w:style w:type="character" w:customStyle="1" w:styleId="standardChar">
    <w:name w:val="standard Char"/>
    <w:basedOn w:val="DefaultParagraphFont"/>
    <w:link w:val="standard"/>
    <w:rsid w:val="006A7080"/>
    <w:rPr>
      <w:rFonts w:ascii="Palatino" w:eastAsia="Times New Roman" w:hAnsi="Palatino" w:cs="Times New Roman"/>
      <w:sz w:val="26"/>
      <w:szCs w:val="20"/>
    </w:rPr>
  </w:style>
  <w:style w:type="numbering" w:customStyle="1" w:styleId="NoList1">
    <w:name w:val="No List1"/>
    <w:next w:val="NoList"/>
    <w:semiHidden/>
    <w:rsid w:val="006A7080"/>
  </w:style>
  <w:style w:type="character" w:styleId="FollowedHyperlink">
    <w:name w:val="FollowedHyperlink"/>
    <w:basedOn w:val="DefaultParagraphFont"/>
    <w:rsid w:val="006A7080"/>
    <w:rPr>
      <w:rFonts w:cs="Times New Roman"/>
      <w:color w:val="800080"/>
      <w:u w:val="single"/>
    </w:rPr>
  </w:style>
  <w:style w:type="paragraph" w:customStyle="1" w:styleId="xl66">
    <w:name w:val="xl66"/>
    <w:basedOn w:val="Normal"/>
    <w:rsid w:val="006A7080"/>
    <w:pPr>
      <w:spacing w:before="100" w:beforeAutospacing="1" w:after="100" w:afterAutospacing="1" w:line="240" w:lineRule="auto"/>
      <w:ind w:firstLineChars="100" w:firstLine="100"/>
      <w:jc w:val="right"/>
    </w:pPr>
    <w:rPr>
      <w:rFonts w:ascii="Times New Roman" w:eastAsia="Times New Roman" w:hAnsi="Times New Roman" w:cs="Times New Roman"/>
      <w:sz w:val="24"/>
      <w:szCs w:val="24"/>
    </w:rPr>
  </w:style>
  <w:style w:type="paragraph" w:customStyle="1" w:styleId="xl69">
    <w:name w:val="xl69"/>
    <w:basedOn w:val="Normal"/>
    <w:rsid w:val="006A7080"/>
    <w:pPr>
      <w:pBdr>
        <w:top w:val="single" w:sz="4" w:space="0" w:color="95B3D7"/>
        <w:left w:val="single" w:sz="4" w:space="0" w:color="95B3D7"/>
        <w:bottom w:val="single" w:sz="4" w:space="0" w:color="95B3D7"/>
      </w:pBdr>
      <w:shd w:val="clear" w:color="4F81BD" w:fill="1F497D"/>
      <w:spacing w:before="100" w:beforeAutospacing="1" w:after="100" w:afterAutospacing="1" w:line="240" w:lineRule="auto"/>
    </w:pPr>
    <w:rPr>
      <w:rFonts w:ascii="Arial" w:eastAsia="Times New Roman" w:hAnsi="Arial" w:cs="Arial"/>
      <w:b/>
      <w:bCs/>
      <w:color w:val="FFFFFF"/>
      <w:sz w:val="18"/>
      <w:szCs w:val="18"/>
    </w:rPr>
  </w:style>
  <w:style w:type="paragraph" w:customStyle="1" w:styleId="xl70">
    <w:name w:val="xl70"/>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1">
    <w:name w:val="xl71"/>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2">
    <w:name w:val="xl72"/>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3">
    <w:name w:val="xl73"/>
    <w:basedOn w:val="Normal"/>
    <w:rsid w:val="006A7080"/>
    <w:pPr>
      <w:pBdr>
        <w:top w:val="single" w:sz="4" w:space="0" w:color="95B3D7"/>
        <w:bottom w:val="single" w:sz="4" w:space="0" w:color="95B3D7"/>
        <w:right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4">
    <w:name w:val="xl74"/>
    <w:basedOn w:val="Normal"/>
    <w:rsid w:val="006A7080"/>
    <w:pPr>
      <w:pBdr>
        <w:left w:val="single" w:sz="4" w:space="0" w:color="95B3D7"/>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5">
    <w:name w:val="xl75"/>
    <w:basedOn w:val="Normal"/>
    <w:rsid w:val="006A7080"/>
    <w:pPr>
      <w:pBdr>
        <w:bottom w:val="single" w:sz="4" w:space="0" w:color="95B3D7"/>
      </w:pBdr>
      <w:shd w:val="clear" w:color="DBE5F1" w:fill="DBE5F1"/>
      <w:spacing w:before="100" w:beforeAutospacing="1" w:after="100" w:afterAutospacing="1" w:line="240" w:lineRule="auto"/>
      <w:ind w:firstLineChars="100" w:firstLine="100"/>
      <w:jc w:val="right"/>
    </w:pPr>
    <w:rPr>
      <w:rFonts w:ascii="Arial" w:eastAsia="Times New Roman" w:hAnsi="Arial" w:cs="Arial"/>
      <w:sz w:val="18"/>
      <w:szCs w:val="18"/>
    </w:rPr>
  </w:style>
  <w:style w:type="paragraph" w:customStyle="1" w:styleId="xl76">
    <w:name w:val="xl76"/>
    <w:basedOn w:val="Normal"/>
    <w:rsid w:val="006A7080"/>
    <w:pPr>
      <w:pBdr>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7">
    <w:name w:val="xl77"/>
    <w:basedOn w:val="Normal"/>
    <w:rsid w:val="006A7080"/>
    <w:pPr>
      <w:pBdr>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8">
    <w:name w:val="xl78"/>
    <w:basedOn w:val="Normal"/>
    <w:rsid w:val="006A7080"/>
    <w:pPr>
      <w:pBdr>
        <w:bottom w:val="single" w:sz="4" w:space="0" w:color="95B3D7"/>
        <w:right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9">
    <w:name w:val="xl79"/>
    <w:basedOn w:val="Normal"/>
    <w:rsid w:val="006A7080"/>
    <w:pPr>
      <w:pBdr>
        <w:left w:val="single" w:sz="4" w:space="0" w:color="95B3D7"/>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0">
    <w:name w:val="xl80"/>
    <w:basedOn w:val="Normal"/>
    <w:rsid w:val="006A7080"/>
    <w:pPr>
      <w:pBdr>
        <w:bottom w:val="single" w:sz="4" w:space="0" w:color="95B3D7"/>
      </w:pBdr>
      <w:spacing w:before="100" w:beforeAutospacing="1" w:after="100" w:afterAutospacing="1" w:line="240" w:lineRule="auto"/>
      <w:ind w:firstLineChars="100" w:firstLine="100"/>
      <w:jc w:val="right"/>
    </w:pPr>
    <w:rPr>
      <w:rFonts w:ascii="Arial" w:eastAsia="Times New Roman" w:hAnsi="Arial" w:cs="Arial"/>
      <w:sz w:val="18"/>
      <w:szCs w:val="18"/>
    </w:rPr>
  </w:style>
  <w:style w:type="paragraph" w:customStyle="1" w:styleId="xl81">
    <w:name w:val="xl81"/>
    <w:basedOn w:val="Normal"/>
    <w:rsid w:val="006A7080"/>
    <w:pPr>
      <w:pBdr>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2">
    <w:name w:val="xl82"/>
    <w:basedOn w:val="Normal"/>
    <w:rsid w:val="006A7080"/>
    <w:pPr>
      <w:pBdr>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3">
    <w:name w:val="xl83"/>
    <w:basedOn w:val="Normal"/>
    <w:rsid w:val="006A7080"/>
    <w:pPr>
      <w:pBdr>
        <w:bottom w:val="single" w:sz="4" w:space="0" w:color="95B3D7"/>
        <w:right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4">
    <w:name w:val="xl84"/>
    <w:basedOn w:val="Normal"/>
    <w:rsid w:val="006A7080"/>
    <w:pPr>
      <w:pBdr>
        <w:left w:val="single" w:sz="4" w:space="7" w:color="95B3D7"/>
        <w:bottom w:val="single" w:sz="4" w:space="0" w:color="95B3D7"/>
      </w:pBdr>
      <w:spacing w:before="100" w:beforeAutospacing="1" w:after="100" w:afterAutospacing="1" w:line="240" w:lineRule="auto"/>
      <w:ind w:firstLineChars="100" w:firstLine="100"/>
    </w:pPr>
    <w:rPr>
      <w:rFonts w:ascii="Arial" w:eastAsia="Times New Roman" w:hAnsi="Arial" w:cs="Arial"/>
      <w:sz w:val="18"/>
      <w:szCs w:val="18"/>
    </w:rPr>
  </w:style>
  <w:style w:type="paragraph" w:customStyle="1" w:styleId="xl85">
    <w:name w:val="xl85"/>
    <w:basedOn w:val="Normal"/>
    <w:rsid w:val="006A7080"/>
    <w:pPr>
      <w:pBdr>
        <w:left w:val="single" w:sz="4" w:space="7" w:color="95B3D7"/>
        <w:bottom w:val="single" w:sz="4" w:space="0" w:color="95B3D7"/>
      </w:pBdr>
      <w:shd w:val="clear" w:color="DBE5F1" w:fill="DBE5F1"/>
      <w:spacing w:before="100" w:beforeAutospacing="1" w:after="100" w:afterAutospacing="1" w:line="240" w:lineRule="auto"/>
      <w:ind w:firstLineChars="100" w:firstLine="100"/>
    </w:pPr>
    <w:rPr>
      <w:rFonts w:ascii="Arial" w:eastAsia="Times New Roman" w:hAnsi="Arial" w:cs="Arial"/>
      <w:sz w:val="18"/>
      <w:szCs w:val="18"/>
    </w:rPr>
  </w:style>
  <w:style w:type="paragraph" w:customStyle="1" w:styleId="xl86">
    <w:name w:val="xl86"/>
    <w:basedOn w:val="Normal"/>
    <w:rsid w:val="006A7080"/>
    <w:pPr>
      <w:pBdr>
        <w:left w:val="single" w:sz="4" w:space="0" w:color="95B3D7"/>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87">
    <w:name w:val="xl87"/>
    <w:basedOn w:val="Normal"/>
    <w:rsid w:val="006A7080"/>
    <w:pPr>
      <w:pBdr>
        <w:left w:val="single" w:sz="4" w:space="0" w:color="95B3D7"/>
        <w:bottom w:val="single" w:sz="4" w:space="0" w:color="95B3D7"/>
      </w:pBdr>
      <w:spacing w:before="100" w:beforeAutospacing="1" w:after="100" w:afterAutospacing="1" w:line="240" w:lineRule="auto"/>
    </w:pPr>
    <w:rPr>
      <w:rFonts w:ascii="Arial" w:eastAsia="Times New Roman" w:hAnsi="Arial" w:cs="Arial"/>
      <w:sz w:val="18"/>
      <w:szCs w:val="18"/>
    </w:rPr>
  </w:style>
  <w:style w:type="table" w:customStyle="1" w:styleId="MediumShading1-Accent11">
    <w:name w:val="Medium Shading 1 - Accent 11"/>
    <w:basedOn w:val="TableNormal"/>
    <w:uiPriority w:val="63"/>
    <w:rsid w:val="006A708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TOC5">
    <w:name w:val="toc 5"/>
    <w:basedOn w:val="Normal"/>
    <w:next w:val="Normal"/>
    <w:autoRedefine/>
    <w:uiPriority w:val="39"/>
    <w:unhideWhenUsed/>
    <w:rsid w:val="006A7080"/>
    <w:pPr>
      <w:spacing w:after="100"/>
      <w:ind w:left="880"/>
    </w:pPr>
    <w:rPr>
      <w:rFonts w:ascii="Calibri" w:eastAsia="Times New Roman" w:hAnsi="Calibri" w:cs="Times New Roman"/>
    </w:rPr>
  </w:style>
  <w:style w:type="paragraph" w:styleId="TOC6">
    <w:name w:val="toc 6"/>
    <w:basedOn w:val="Normal"/>
    <w:next w:val="Normal"/>
    <w:autoRedefine/>
    <w:uiPriority w:val="39"/>
    <w:unhideWhenUsed/>
    <w:rsid w:val="006A7080"/>
    <w:pPr>
      <w:spacing w:after="100"/>
      <w:ind w:left="1100"/>
    </w:pPr>
    <w:rPr>
      <w:rFonts w:ascii="Calibri" w:eastAsia="Times New Roman" w:hAnsi="Calibri" w:cs="Times New Roman"/>
    </w:rPr>
  </w:style>
  <w:style w:type="paragraph" w:styleId="TOC7">
    <w:name w:val="toc 7"/>
    <w:basedOn w:val="Normal"/>
    <w:next w:val="Normal"/>
    <w:autoRedefine/>
    <w:uiPriority w:val="39"/>
    <w:unhideWhenUsed/>
    <w:rsid w:val="006A7080"/>
    <w:pPr>
      <w:spacing w:after="100"/>
      <w:ind w:left="1320"/>
    </w:pPr>
    <w:rPr>
      <w:rFonts w:ascii="Calibri" w:eastAsia="Times New Roman" w:hAnsi="Calibri" w:cs="Times New Roman"/>
    </w:rPr>
  </w:style>
  <w:style w:type="paragraph" w:styleId="TOC8">
    <w:name w:val="toc 8"/>
    <w:basedOn w:val="Normal"/>
    <w:next w:val="Normal"/>
    <w:autoRedefine/>
    <w:uiPriority w:val="39"/>
    <w:unhideWhenUsed/>
    <w:rsid w:val="006A7080"/>
    <w:pPr>
      <w:spacing w:after="100"/>
      <w:ind w:left="1540"/>
    </w:pPr>
    <w:rPr>
      <w:rFonts w:ascii="Calibri" w:eastAsia="Times New Roman" w:hAnsi="Calibri" w:cs="Times New Roman"/>
    </w:rPr>
  </w:style>
  <w:style w:type="paragraph" w:styleId="TOC9">
    <w:name w:val="toc 9"/>
    <w:basedOn w:val="Normal"/>
    <w:next w:val="Normal"/>
    <w:autoRedefine/>
    <w:uiPriority w:val="39"/>
    <w:unhideWhenUsed/>
    <w:rsid w:val="006A7080"/>
    <w:pPr>
      <w:spacing w:after="100"/>
      <w:ind w:left="1760"/>
    </w:pPr>
    <w:rPr>
      <w:rFonts w:ascii="Calibri" w:eastAsia="Times New Roman" w:hAnsi="Calibri" w:cs="Times New Roman"/>
    </w:rPr>
  </w:style>
  <w:style w:type="paragraph" w:styleId="EndnoteText">
    <w:name w:val="endnote text"/>
    <w:basedOn w:val="Normal"/>
    <w:link w:val="EndnoteTextChar"/>
    <w:uiPriority w:val="99"/>
    <w:semiHidden/>
    <w:unhideWhenUsed/>
    <w:rsid w:val="006A708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7080"/>
    <w:rPr>
      <w:sz w:val="20"/>
      <w:szCs w:val="20"/>
    </w:rPr>
  </w:style>
  <w:style w:type="character" w:styleId="EndnoteReference">
    <w:name w:val="endnote reference"/>
    <w:basedOn w:val="DefaultParagraphFont"/>
    <w:uiPriority w:val="99"/>
    <w:semiHidden/>
    <w:unhideWhenUsed/>
    <w:rsid w:val="006A7080"/>
    <w:rPr>
      <w:vertAlign w:val="superscript"/>
    </w:rPr>
  </w:style>
  <w:style w:type="character" w:styleId="PlaceholderText">
    <w:name w:val="Placeholder Text"/>
    <w:basedOn w:val="DefaultParagraphFont"/>
    <w:uiPriority w:val="99"/>
    <w:semiHidden/>
    <w:rsid w:val="006A7080"/>
    <w:rPr>
      <w:color w:val="808080"/>
    </w:rPr>
  </w:style>
  <w:style w:type="character" w:customStyle="1" w:styleId="BodyParaAfterTableFigureChar">
    <w:name w:val="Body Para After Table Figure Char"/>
    <w:basedOn w:val="BodyParagraphChar"/>
    <w:link w:val="BodyParaAfterTableFigure"/>
    <w:uiPriority w:val="99"/>
    <w:rsid w:val="006A7080"/>
    <w:rPr>
      <w:rFonts w:ascii="Arial" w:hAnsi="Arial"/>
      <w:color w:val="1C1C1C"/>
    </w:rPr>
  </w:style>
  <w:style w:type="character" w:customStyle="1" w:styleId="FootnoteTextChar1">
    <w:name w:val="Footnote Text Char1"/>
    <w:aliases w:val="Footnote Text1 Char Char1,Footnote Text Char Ch Char1"/>
    <w:basedOn w:val="DefaultParagraphFont"/>
    <w:uiPriority w:val="99"/>
    <w:semiHidden/>
    <w:rsid w:val="006A7080"/>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Table Professional"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uiPriority w:val="9"/>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uiPriority w:val="99"/>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uiPriority w:val="99"/>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uiPriority w:val="99"/>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6A7080"/>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nhideWhenUsed/>
    <w:rsid w:val="006A7080"/>
    <w:rPr>
      <w:sz w:val="16"/>
      <w:szCs w:val="16"/>
    </w:rPr>
  </w:style>
  <w:style w:type="paragraph" w:styleId="CommentText">
    <w:name w:val="annotation text"/>
    <w:basedOn w:val="Normal"/>
    <w:link w:val="CommentTextChar"/>
    <w:unhideWhenUsed/>
    <w:rsid w:val="006A7080"/>
    <w:pPr>
      <w:spacing w:line="240" w:lineRule="auto"/>
    </w:pPr>
    <w:rPr>
      <w:sz w:val="20"/>
      <w:szCs w:val="20"/>
    </w:rPr>
  </w:style>
  <w:style w:type="character" w:customStyle="1" w:styleId="CommentTextChar">
    <w:name w:val="Comment Text Char"/>
    <w:basedOn w:val="DefaultParagraphFont"/>
    <w:link w:val="CommentText"/>
    <w:rsid w:val="006A7080"/>
    <w:rPr>
      <w:sz w:val="20"/>
      <w:szCs w:val="20"/>
    </w:rPr>
  </w:style>
  <w:style w:type="paragraph" w:styleId="CommentSubject">
    <w:name w:val="annotation subject"/>
    <w:basedOn w:val="CommentText"/>
    <w:next w:val="CommentText"/>
    <w:link w:val="CommentSubjectChar"/>
    <w:semiHidden/>
    <w:unhideWhenUsed/>
    <w:rsid w:val="006A7080"/>
    <w:rPr>
      <w:b/>
      <w:bCs/>
    </w:rPr>
  </w:style>
  <w:style w:type="character" w:customStyle="1" w:styleId="CommentSubjectChar">
    <w:name w:val="Comment Subject Char"/>
    <w:basedOn w:val="CommentTextChar"/>
    <w:link w:val="CommentSubject"/>
    <w:semiHidden/>
    <w:rsid w:val="006A7080"/>
    <w:rPr>
      <w:b/>
      <w:bCs/>
      <w:sz w:val="20"/>
      <w:szCs w:val="20"/>
    </w:rPr>
  </w:style>
  <w:style w:type="paragraph" w:styleId="Revision">
    <w:name w:val="Revision"/>
    <w:hidden/>
    <w:uiPriority w:val="99"/>
    <w:semiHidden/>
    <w:rsid w:val="006A7080"/>
    <w:pPr>
      <w:spacing w:after="0" w:line="240" w:lineRule="auto"/>
    </w:pPr>
  </w:style>
  <w:style w:type="paragraph" w:styleId="ListParagraph">
    <w:name w:val="List Paragraph"/>
    <w:basedOn w:val="Normal"/>
    <w:uiPriority w:val="34"/>
    <w:qFormat/>
    <w:rsid w:val="006A7080"/>
    <w:pPr>
      <w:spacing w:after="0" w:line="240" w:lineRule="auto"/>
      <w:ind w:left="720"/>
    </w:pPr>
    <w:rPr>
      <w:rFonts w:ascii="Calibri" w:hAnsi="Calibri" w:cs="Calibri"/>
    </w:rPr>
  </w:style>
  <w:style w:type="paragraph" w:customStyle="1" w:styleId="Bullet">
    <w:name w:val="Bullet"/>
    <w:basedOn w:val="Normal"/>
    <w:rsid w:val="006A7080"/>
    <w:pPr>
      <w:numPr>
        <w:numId w:val="8"/>
      </w:numPr>
      <w:spacing w:after="240" w:line="240" w:lineRule="auto"/>
    </w:pPr>
    <w:rPr>
      <w:rFonts w:ascii="Arial" w:eastAsia="Times New Roman" w:hAnsi="Arial" w:cs="Times New Roman"/>
    </w:rPr>
  </w:style>
  <w:style w:type="paragraph" w:styleId="Caption">
    <w:name w:val="caption"/>
    <w:basedOn w:val="Normal"/>
    <w:next w:val="Normal"/>
    <w:link w:val="CaptionChar"/>
    <w:qFormat/>
    <w:rsid w:val="006A7080"/>
    <w:pPr>
      <w:spacing w:after="0" w:line="240" w:lineRule="auto"/>
      <w:jc w:val="center"/>
    </w:pPr>
    <w:rPr>
      <w:rFonts w:ascii="Calibri" w:eastAsia="Times New Roman" w:hAnsi="Calibri" w:cs="Times New Roman"/>
      <w:b/>
      <w:bCs/>
      <w:color w:val="FFFFFF"/>
    </w:rPr>
  </w:style>
  <w:style w:type="character" w:customStyle="1" w:styleId="CaptionChar">
    <w:name w:val="Caption Char"/>
    <w:basedOn w:val="DefaultParagraphFont"/>
    <w:link w:val="Caption"/>
    <w:locked/>
    <w:rsid w:val="006A7080"/>
    <w:rPr>
      <w:rFonts w:ascii="Calibri" w:eastAsia="Times New Roman" w:hAnsi="Calibri" w:cs="Times New Roman"/>
      <w:b/>
      <w:bCs/>
      <w:color w:val="FFFFFF"/>
    </w:rPr>
  </w:style>
  <w:style w:type="table" w:styleId="TableProfessional">
    <w:name w:val="Table Professional"/>
    <w:basedOn w:val="TableNormal"/>
    <w:rsid w:val="006A7080"/>
    <w:pPr>
      <w:spacing w:after="0" w:line="240" w:lineRule="auto"/>
    </w:pPr>
    <w:rPr>
      <w:rFonts w:ascii="Arial Narrow" w:eastAsia="Times New Roman" w:hAnsi="Arial Narrow"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NormalBold">
    <w:name w:val="Normal + Bold"/>
    <w:aliases w:val="Centered"/>
    <w:basedOn w:val="BodyParagraph"/>
    <w:rsid w:val="006A7080"/>
    <w:pPr>
      <w:spacing w:line="312" w:lineRule="auto"/>
    </w:pPr>
    <w:rPr>
      <w:rFonts w:eastAsia="Calibri" w:cs="Times New Roman"/>
      <w:color w:val="auto"/>
      <w:sz w:val="20"/>
    </w:rPr>
  </w:style>
  <w:style w:type="character" w:customStyle="1" w:styleId="CharChar1">
    <w:name w:val="Char Char1"/>
    <w:basedOn w:val="DefaultParagraphFont"/>
    <w:semiHidden/>
    <w:locked/>
    <w:rsid w:val="006A7080"/>
    <w:rPr>
      <w:rFonts w:ascii="Franklin Gothic Book" w:hAnsi="Franklin Gothic Book"/>
      <w:spacing w:val="-2"/>
      <w:lang w:val="en-US" w:eastAsia="en-US" w:bidi="ar-SA"/>
    </w:rPr>
  </w:style>
  <w:style w:type="paragraph" w:customStyle="1" w:styleId="Heading1notnumbered">
    <w:name w:val="Heading 1 not numbered"/>
    <w:basedOn w:val="Heading1"/>
    <w:rsid w:val="006A7080"/>
    <w:pPr>
      <w:numPr>
        <w:numId w:val="0"/>
      </w:numPr>
      <w:spacing w:after="240"/>
    </w:pPr>
    <w:rPr>
      <w:rFonts w:ascii="Arial Bold" w:hAnsi="Arial Bold"/>
      <w:color w:val="433B67"/>
    </w:rPr>
  </w:style>
  <w:style w:type="paragraph" w:styleId="NormalWeb">
    <w:name w:val="Normal (Web)"/>
    <w:basedOn w:val="Normal"/>
    <w:uiPriority w:val="99"/>
    <w:rsid w:val="006A7080"/>
    <w:pPr>
      <w:spacing w:before="100" w:beforeAutospacing="1" w:after="100" w:afterAutospacing="1" w:line="240" w:lineRule="auto"/>
    </w:pPr>
    <w:rPr>
      <w:rFonts w:ascii="Times New Roman" w:eastAsia="Times New Roman" w:hAnsi="Times New Roman" w:cs="Times New Roman"/>
      <w:sz w:val="29"/>
      <w:szCs w:val="29"/>
    </w:rPr>
  </w:style>
  <w:style w:type="paragraph" w:customStyle="1" w:styleId="TableCaption">
    <w:name w:val="Table Caption"/>
    <w:basedOn w:val="Caption"/>
    <w:rsid w:val="006A7080"/>
    <w:rPr>
      <w:rFonts w:ascii="Times New Roman" w:hAnsi="Times New Roman"/>
      <w:bCs w:val="0"/>
      <w:sz w:val="24"/>
      <w:szCs w:val="20"/>
    </w:rPr>
  </w:style>
  <w:style w:type="paragraph" w:customStyle="1" w:styleId="standard">
    <w:name w:val="standard"/>
    <w:basedOn w:val="Normal"/>
    <w:link w:val="standardChar"/>
    <w:rsid w:val="006A7080"/>
    <w:pPr>
      <w:spacing w:after="0" w:line="360" w:lineRule="auto"/>
      <w:ind w:firstLine="720"/>
    </w:pPr>
    <w:rPr>
      <w:rFonts w:ascii="Palatino" w:eastAsia="Times New Roman" w:hAnsi="Palatino" w:cs="Times New Roman"/>
      <w:sz w:val="26"/>
      <w:szCs w:val="20"/>
    </w:rPr>
  </w:style>
  <w:style w:type="character" w:customStyle="1" w:styleId="standardChar">
    <w:name w:val="standard Char"/>
    <w:basedOn w:val="DefaultParagraphFont"/>
    <w:link w:val="standard"/>
    <w:rsid w:val="006A7080"/>
    <w:rPr>
      <w:rFonts w:ascii="Palatino" w:eastAsia="Times New Roman" w:hAnsi="Palatino" w:cs="Times New Roman"/>
      <w:sz w:val="26"/>
      <w:szCs w:val="20"/>
    </w:rPr>
  </w:style>
  <w:style w:type="numbering" w:customStyle="1" w:styleId="NoList1">
    <w:name w:val="No List1"/>
    <w:next w:val="NoList"/>
    <w:semiHidden/>
    <w:rsid w:val="006A7080"/>
  </w:style>
  <w:style w:type="character" w:styleId="FollowedHyperlink">
    <w:name w:val="FollowedHyperlink"/>
    <w:basedOn w:val="DefaultParagraphFont"/>
    <w:rsid w:val="006A7080"/>
    <w:rPr>
      <w:rFonts w:cs="Times New Roman"/>
      <w:color w:val="800080"/>
      <w:u w:val="single"/>
    </w:rPr>
  </w:style>
  <w:style w:type="paragraph" w:customStyle="1" w:styleId="xl66">
    <w:name w:val="xl66"/>
    <w:basedOn w:val="Normal"/>
    <w:rsid w:val="006A7080"/>
    <w:pPr>
      <w:spacing w:before="100" w:beforeAutospacing="1" w:after="100" w:afterAutospacing="1" w:line="240" w:lineRule="auto"/>
      <w:ind w:firstLineChars="100" w:firstLine="100"/>
      <w:jc w:val="right"/>
    </w:pPr>
    <w:rPr>
      <w:rFonts w:ascii="Times New Roman" w:eastAsia="Times New Roman" w:hAnsi="Times New Roman" w:cs="Times New Roman"/>
      <w:sz w:val="24"/>
      <w:szCs w:val="24"/>
    </w:rPr>
  </w:style>
  <w:style w:type="paragraph" w:customStyle="1" w:styleId="xl69">
    <w:name w:val="xl69"/>
    <w:basedOn w:val="Normal"/>
    <w:rsid w:val="006A7080"/>
    <w:pPr>
      <w:pBdr>
        <w:top w:val="single" w:sz="4" w:space="0" w:color="95B3D7"/>
        <w:left w:val="single" w:sz="4" w:space="0" w:color="95B3D7"/>
        <w:bottom w:val="single" w:sz="4" w:space="0" w:color="95B3D7"/>
      </w:pBdr>
      <w:shd w:val="clear" w:color="4F81BD" w:fill="1F497D"/>
      <w:spacing w:before="100" w:beforeAutospacing="1" w:after="100" w:afterAutospacing="1" w:line="240" w:lineRule="auto"/>
    </w:pPr>
    <w:rPr>
      <w:rFonts w:ascii="Arial" w:eastAsia="Times New Roman" w:hAnsi="Arial" w:cs="Arial"/>
      <w:b/>
      <w:bCs/>
      <w:color w:val="FFFFFF"/>
      <w:sz w:val="18"/>
      <w:szCs w:val="18"/>
    </w:rPr>
  </w:style>
  <w:style w:type="paragraph" w:customStyle="1" w:styleId="xl70">
    <w:name w:val="xl70"/>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1">
    <w:name w:val="xl71"/>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2">
    <w:name w:val="xl72"/>
    <w:basedOn w:val="Normal"/>
    <w:rsid w:val="006A7080"/>
    <w:pPr>
      <w:pBdr>
        <w:top w:val="single" w:sz="4" w:space="0" w:color="95B3D7"/>
        <w:bottom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3">
    <w:name w:val="xl73"/>
    <w:basedOn w:val="Normal"/>
    <w:rsid w:val="006A7080"/>
    <w:pPr>
      <w:pBdr>
        <w:top w:val="single" w:sz="4" w:space="0" w:color="95B3D7"/>
        <w:bottom w:val="single" w:sz="4" w:space="0" w:color="95B3D7"/>
        <w:right w:val="single" w:sz="4" w:space="0" w:color="95B3D7"/>
      </w:pBdr>
      <w:shd w:val="clear" w:color="4F81BD" w:fill="1F497D"/>
      <w:spacing w:before="100" w:beforeAutospacing="1" w:after="100" w:afterAutospacing="1" w:line="240" w:lineRule="auto"/>
      <w:jc w:val="center"/>
    </w:pPr>
    <w:rPr>
      <w:rFonts w:ascii="Arial" w:eastAsia="Times New Roman" w:hAnsi="Arial" w:cs="Arial"/>
      <w:b/>
      <w:bCs/>
      <w:color w:val="FFFFFF"/>
      <w:sz w:val="18"/>
      <w:szCs w:val="18"/>
    </w:rPr>
  </w:style>
  <w:style w:type="paragraph" w:customStyle="1" w:styleId="xl74">
    <w:name w:val="xl74"/>
    <w:basedOn w:val="Normal"/>
    <w:rsid w:val="006A7080"/>
    <w:pPr>
      <w:pBdr>
        <w:left w:val="single" w:sz="4" w:space="0" w:color="95B3D7"/>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5">
    <w:name w:val="xl75"/>
    <w:basedOn w:val="Normal"/>
    <w:rsid w:val="006A7080"/>
    <w:pPr>
      <w:pBdr>
        <w:bottom w:val="single" w:sz="4" w:space="0" w:color="95B3D7"/>
      </w:pBdr>
      <w:shd w:val="clear" w:color="DBE5F1" w:fill="DBE5F1"/>
      <w:spacing w:before="100" w:beforeAutospacing="1" w:after="100" w:afterAutospacing="1" w:line="240" w:lineRule="auto"/>
      <w:ind w:firstLineChars="100" w:firstLine="100"/>
      <w:jc w:val="right"/>
    </w:pPr>
    <w:rPr>
      <w:rFonts w:ascii="Arial" w:eastAsia="Times New Roman" w:hAnsi="Arial" w:cs="Arial"/>
      <w:sz w:val="18"/>
      <w:szCs w:val="18"/>
    </w:rPr>
  </w:style>
  <w:style w:type="paragraph" w:customStyle="1" w:styleId="xl76">
    <w:name w:val="xl76"/>
    <w:basedOn w:val="Normal"/>
    <w:rsid w:val="006A7080"/>
    <w:pPr>
      <w:pBdr>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7">
    <w:name w:val="xl77"/>
    <w:basedOn w:val="Normal"/>
    <w:rsid w:val="006A7080"/>
    <w:pPr>
      <w:pBdr>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8">
    <w:name w:val="xl78"/>
    <w:basedOn w:val="Normal"/>
    <w:rsid w:val="006A7080"/>
    <w:pPr>
      <w:pBdr>
        <w:bottom w:val="single" w:sz="4" w:space="0" w:color="95B3D7"/>
        <w:right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79">
    <w:name w:val="xl79"/>
    <w:basedOn w:val="Normal"/>
    <w:rsid w:val="006A7080"/>
    <w:pPr>
      <w:pBdr>
        <w:left w:val="single" w:sz="4" w:space="0" w:color="95B3D7"/>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0">
    <w:name w:val="xl80"/>
    <w:basedOn w:val="Normal"/>
    <w:rsid w:val="006A7080"/>
    <w:pPr>
      <w:pBdr>
        <w:bottom w:val="single" w:sz="4" w:space="0" w:color="95B3D7"/>
      </w:pBdr>
      <w:spacing w:before="100" w:beforeAutospacing="1" w:after="100" w:afterAutospacing="1" w:line="240" w:lineRule="auto"/>
      <w:ind w:firstLineChars="100" w:firstLine="100"/>
      <w:jc w:val="right"/>
    </w:pPr>
    <w:rPr>
      <w:rFonts w:ascii="Arial" w:eastAsia="Times New Roman" w:hAnsi="Arial" w:cs="Arial"/>
      <w:sz w:val="18"/>
      <w:szCs w:val="18"/>
    </w:rPr>
  </w:style>
  <w:style w:type="paragraph" w:customStyle="1" w:styleId="xl81">
    <w:name w:val="xl81"/>
    <w:basedOn w:val="Normal"/>
    <w:rsid w:val="006A7080"/>
    <w:pPr>
      <w:pBdr>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2">
    <w:name w:val="xl82"/>
    <w:basedOn w:val="Normal"/>
    <w:rsid w:val="006A7080"/>
    <w:pPr>
      <w:pBdr>
        <w:bottom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3">
    <w:name w:val="xl83"/>
    <w:basedOn w:val="Normal"/>
    <w:rsid w:val="006A7080"/>
    <w:pPr>
      <w:pBdr>
        <w:bottom w:val="single" w:sz="4" w:space="0" w:color="95B3D7"/>
        <w:right w:val="single" w:sz="4" w:space="0" w:color="95B3D7"/>
      </w:pBdr>
      <w:spacing w:before="100" w:beforeAutospacing="1" w:after="100" w:afterAutospacing="1" w:line="240" w:lineRule="auto"/>
    </w:pPr>
    <w:rPr>
      <w:rFonts w:ascii="Arial" w:eastAsia="Times New Roman" w:hAnsi="Arial" w:cs="Arial"/>
      <w:sz w:val="18"/>
      <w:szCs w:val="18"/>
    </w:rPr>
  </w:style>
  <w:style w:type="paragraph" w:customStyle="1" w:styleId="xl84">
    <w:name w:val="xl84"/>
    <w:basedOn w:val="Normal"/>
    <w:rsid w:val="006A7080"/>
    <w:pPr>
      <w:pBdr>
        <w:left w:val="single" w:sz="4" w:space="7" w:color="95B3D7"/>
        <w:bottom w:val="single" w:sz="4" w:space="0" w:color="95B3D7"/>
      </w:pBdr>
      <w:spacing w:before="100" w:beforeAutospacing="1" w:after="100" w:afterAutospacing="1" w:line="240" w:lineRule="auto"/>
      <w:ind w:firstLineChars="100" w:firstLine="100"/>
    </w:pPr>
    <w:rPr>
      <w:rFonts w:ascii="Arial" w:eastAsia="Times New Roman" w:hAnsi="Arial" w:cs="Arial"/>
      <w:sz w:val="18"/>
      <w:szCs w:val="18"/>
    </w:rPr>
  </w:style>
  <w:style w:type="paragraph" w:customStyle="1" w:styleId="xl85">
    <w:name w:val="xl85"/>
    <w:basedOn w:val="Normal"/>
    <w:rsid w:val="006A7080"/>
    <w:pPr>
      <w:pBdr>
        <w:left w:val="single" w:sz="4" w:space="7" w:color="95B3D7"/>
        <w:bottom w:val="single" w:sz="4" w:space="0" w:color="95B3D7"/>
      </w:pBdr>
      <w:shd w:val="clear" w:color="DBE5F1" w:fill="DBE5F1"/>
      <w:spacing w:before="100" w:beforeAutospacing="1" w:after="100" w:afterAutospacing="1" w:line="240" w:lineRule="auto"/>
      <w:ind w:firstLineChars="100" w:firstLine="100"/>
    </w:pPr>
    <w:rPr>
      <w:rFonts w:ascii="Arial" w:eastAsia="Times New Roman" w:hAnsi="Arial" w:cs="Arial"/>
      <w:sz w:val="18"/>
      <w:szCs w:val="18"/>
    </w:rPr>
  </w:style>
  <w:style w:type="paragraph" w:customStyle="1" w:styleId="xl86">
    <w:name w:val="xl86"/>
    <w:basedOn w:val="Normal"/>
    <w:rsid w:val="006A7080"/>
    <w:pPr>
      <w:pBdr>
        <w:left w:val="single" w:sz="4" w:space="0" w:color="95B3D7"/>
        <w:bottom w:val="single" w:sz="4" w:space="0" w:color="95B3D7"/>
      </w:pBdr>
      <w:shd w:val="clear" w:color="DBE5F1" w:fill="DBE5F1"/>
      <w:spacing w:before="100" w:beforeAutospacing="1" w:after="100" w:afterAutospacing="1" w:line="240" w:lineRule="auto"/>
    </w:pPr>
    <w:rPr>
      <w:rFonts w:ascii="Arial" w:eastAsia="Times New Roman" w:hAnsi="Arial" w:cs="Arial"/>
      <w:sz w:val="18"/>
      <w:szCs w:val="18"/>
    </w:rPr>
  </w:style>
  <w:style w:type="paragraph" w:customStyle="1" w:styleId="xl87">
    <w:name w:val="xl87"/>
    <w:basedOn w:val="Normal"/>
    <w:rsid w:val="006A7080"/>
    <w:pPr>
      <w:pBdr>
        <w:left w:val="single" w:sz="4" w:space="0" w:color="95B3D7"/>
        <w:bottom w:val="single" w:sz="4" w:space="0" w:color="95B3D7"/>
      </w:pBdr>
      <w:spacing w:before="100" w:beforeAutospacing="1" w:after="100" w:afterAutospacing="1" w:line="240" w:lineRule="auto"/>
    </w:pPr>
    <w:rPr>
      <w:rFonts w:ascii="Arial" w:eastAsia="Times New Roman" w:hAnsi="Arial" w:cs="Arial"/>
      <w:sz w:val="18"/>
      <w:szCs w:val="18"/>
    </w:rPr>
  </w:style>
  <w:style w:type="table" w:customStyle="1" w:styleId="MediumShading1-Accent11">
    <w:name w:val="Medium Shading 1 - Accent 11"/>
    <w:basedOn w:val="TableNormal"/>
    <w:uiPriority w:val="63"/>
    <w:rsid w:val="006A708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TOC5">
    <w:name w:val="toc 5"/>
    <w:basedOn w:val="Normal"/>
    <w:next w:val="Normal"/>
    <w:autoRedefine/>
    <w:uiPriority w:val="39"/>
    <w:unhideWhenUsed/>
    <w:rsid w:val="006A7080"/>
    <w:pPr>
      <w:spacing w:after="100"/>
      <w:ind w:left="880"/>
    </w:pPr>
    <w:rPr>
      <w:rFonts w:ascii="Calibri" w:eastAsia="Times New Roman" w:hAnsi="Calibri" w:cs="Times New Roman"/>
    </w:rPr>
  </w:style>
  <w:style w:type="paragraph" w:styleId="TOC6">
    <w:name w:val="toc 6"/>
    <w:basedOn w:val="Normal"/>
    <w:next w:val="Normal"/>
    <w:autoRedefine/>
    <w:uiPriority w:val="39"/>
    <w:unhideWhenUsed/>
    <w:rsid w:val="006A7080"/>
    <w:pPr>
      <w:spacing w:after="100"/>
      <w:ind w:left="1100"/>
    </w:pPr>
    <w:rPr>
      <w:rFonts w:ascii="Calibri" w:eastAsia="Times New Roman" w:hAnsi="Calibri" w:cs="Times New Roman"/>
    </w:rPr>
  </w:style>
  <w:style w:type="paragraph" w:styleId="TOC7">
    <w:name w:val="toc 7"/>
    <w:basedOn w:val="Normal"/>
    <w:next w:val="Normal"/>
    <w:autoRedefine/>
    <w:uiPriority w:val="39"/>
    <w:unhideWhenUsed/>
    <w:rsid w:val="006A7080"/>
    <w:pPr>
      <w:spacing w:after="100"/>
      <w:ind w:left="1320"/>
    </w:pPr>
    <w:rPr>
      <w:rFonts w:ascii="Calibri" w:eastAsia="Times New Roman" w:hAnsi="Calibri" w:cs="Times New Roman"/>
    </w:rPr>
  </w:style>
  <w:style w:type="paragraph" w:styleId="TOC8">
    <w:name w:val="toc 8"/>
    <w:basedOn w:val="Normal"/>
    <w:next w:val="Normal"/>
    <w:autoRedefine/>
    <w:uiPriority w:val="39"/>
    <w:unhideWhenUsed/>
    <w:rsid w:val="006A7080"/>
    <w:pPr>
      <w:spacing w:after="100"/>
      <w:ind w:left="1540"/>
    </w:pPr>
    <w:rPr>
      <w:rFonts w:ascii="Calibri" w:eastAsia="Times New Roman" w:hAnsi="Calibri" w:cs="Times New Roman"/>
    </w:rPr>
  </w:style>
  <w:style w:type="paragraph" w:styleId="TOC9">
    <w:name w:val="toc 9"/>
    <w:basedOn w:val="Normal"/>
    <w:next w:val="Normal"/>
    <w:autoRedefine/>
    <w:uiPriority w:val="39"/>
    <w:unhideWhenUsed/>
    <w:rsid w:val="006A7080"/>
    <w:pPr>
      <w:spacing w:after="100"/>
      <w:ind w:left="1760"/>
    </w:pPr>
    <w:rPr>
      <w:rFonts w:ascii="Calibri" w:eastAsia="Times New Roman" w:hAnsi="Calibri" w:cs="Times New Roman"/>
    </w:rPr>
  </w:style>
  <w:style w:type="paragraph" w:styleId="EndnoteText">
    <w:name w:val="endnote text"/>
    <w:basedOn w:val="Normal"/>
    <w:link w:val="EndnoteTextChar"/>
    <w:uiPriority w:val="99"/>
    <w:semiHidden/>
    <w:unhideWhenUsed/>
    <w:rsid w:val="006A708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7080"/>
    <w:rPr>
      <w:sz w:val="20"/>
      <w:szCs w:val="20"/>
    </w:rPr>
  </w:style>
  <w:style w:type="character" w:styleId="EndnoteReference">
    <w:name w:val="endnote reference"/>
    <w:basedOn w:val="DefaultParagraphFont"/>
    <w:uiPriority w:val="99"/>
    <w:semiHidden/>
    <w:unhideWhenUsed/>
    <w:rsid w:val="006A7080"/>
    <w:rPr>
      <w:vertAlign w:val="superscript"/>
    </w:rPr>
  </w:style>
  <w:style w:type="character" w:styleId="PlaceholderText">
    <w:name w:val="Placeholder Text"/>
    <w:basedOn w:val="DefaultParagraphFont"/>
    <w:uiPriority w:val="99"/>
    <w:semiHidden/>
    <w:rsid w:val="006A7080"/>
    <w:rPr>
      <w:color w:val="808080"/>
    </w:rPr>
  </w:style>
  <w:style w:type="character" w:customStyle="1" w:styleId="BodyParaAfterTableFigureChar">
    <w:name w:val="Body Para After Table Figure Char"/>
    <w:basedOn w:val="BodyParagraphChar"/>
    <w:link w:val="BodyParaAfterTableFigure"/>
    <w:uiPriority w:val="99"/>
    <w:rsid w:val="006A7080"/>
    <w:rPr>
      <w:rFonts w:ascii="Arial" w:hAnsi="Arial"/>
      <w:color w:val="1C1C1C"/>
    </w:rPr>
  </w:style>
  <w:style w:type="character" w:customStyle="1" w:styleId="FootnoteTextChar1">
    <w:name w:val="Footnote Text Char1"/>
    <w:aliases w:val="Footnote Text1 Char Char1,Footnote Text Char Ch Char1"/>
    <w:basedOn w:val="DefaultParagraphFont"/>
    <w:uiPriority w:val="99"/>
    <w:semiHidden/>
    <w:rsid w:val="006A7080"/>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890144">
      <w:bodyDiv w:val="1"/>
      <w:marLeft w:val="0"/>
      <w:marRight w:val="0"/>
      <w:marTop w:val="0"/>
      <w:marBottom w:val="0"/>
      <w:divBdr>
        <w:top w:val="none" w:sz="0" w:space="0" w:color="auto"/>
        <w:left w:val="none" w:sz="0" w:space="0" w:color="auto"/>
        <w:bottom w:val="none" w:sz="0" w:space="0" w:color="auto"/>
        <w:right w:val="none" w:sz="0" w:space="0" w:color="auto"/>
      </w:divBdr>
    </w:div>
    <w:div w:id="119226113">
      <w:bodyDiv w:val="1"/>
      <w:marLeft w:val="0"/>
      <w:marRight w:val="0"/>
      <w:marTop w:val="0"/>
      <w:marBottom w:val="0"/>
      <w:divBdr>
        <w:top w:val="none" w:sz="0" w:space="0" w:color="auto"/>
        <w:left w:val="none" w:sz="0" w:space="0" w:color="auto"/>
        <w:bottom w:val="none" w:sz="0" w:space="0" w:color="auto"/>
        <w:right w:val="none" w:sz="0" w:space="0" w:color="auto"/>
      </w:divBdr>
    </w:div>
    <w:div w:id="123232008">
      <w:bodyDiv w:val="1"/>
      <w:marLeft w:val="0"/>
      <w:marRight w:val="0"/>
      <w:marTop w:val="0"/>
      <w:marBottom w:val="0"/>
      <w:divBdr>
        <w:top w:val="none" w:sz="0" w:space="0" w:color="auto"/>
        <w:left w:val="none" w:sz="0" w:space="0" w:color="auto"/>
        <w:bottom w:val="none" w:sz="0" w:space="0" w:color="auto"/>
        <w:right w:val="none" w:sz="0" w:space="0" w:color="auto"/>
      </w:divBdr>
    </w:div>
    <w:div w:id="194782087">
      <w:bodyDiv w:val="1"/>
      <w:marLeft w:val="0"/>
      <w:marRight w:val="0"/>
      <w:marTop w:val="0"/>
      <w:marBottom w:val="0"/>
      <w:divBdr>
        <w:top w:val="none" w:sz="0" w:space="0" w:color="auto"/>
        <w:left w:val="none" w:sz="0" w:space="0" w:color="auto"/>
        <w:bottom w:val="none" w:sz="0" w:space="0" w:color="auto"/>
        <w:right w:val="none" w:sz="0" w:space="0" w:color="auto"/>
      </w:divBdr>
    </w:div>
    <w:div w:id="239408654">
      <w:bodyDiv w:val="1"/>
      <w:marLeft w:val="0"/>
      <w:marRight w:val="0"/>
      <w:marTop w:val="0"/>
      <w:marBottom w:val="0"/>
      <w:divBdr>
        <w:top w:val="none" w:sz="0" w:space="0" w:color="auto"/>
        <w:left w:val="none" w:sz="0" w:space="0" w:color="auto"/>
        <w:bottom w:val="none" w:sz="0" w:space="0" w:color="auto"/>
        <w:right w:val="none" w:sz="0" w:space="0" w:color="auto"/>
      </w:divBdr>
    </w:div>
    <w:div w:id="262960112">
      <w:bodyDiv w:val="1"/>
      <w:marLeft w:val="0"/>
      <w:marRight w:val="0"/>
      <w:marTop w:val="0"/>
      <w:marBottom w:val="0"/>
      <w:divBdr>
        <w:top w:val="none" w:sz="0" w:space="0" w:color="auto"/>
        <w:left w:val="none" w:sz="0" w:space="0" w:color="auto"/>
        <w:bottom w:val="none" w:sz="0" w:space="0" w:color="auto"/>
        <w:right w:val="none" w:sz="0" w:space="0" w:color="auto"/>
      </w:divBdr>
    </w:div>
    <w:div w:id="302777692">
      <w:bodyDiv w:val="1"/>
      <w:marLeft w:val="0"/>
      <w:marRight w:val="0"/>
      <w:marTop w:val="0"/>
      <w:marBottom w:val="0"/>
      <w:divBdr>
        <w:top w:val="none" w:sz="0" w:space="0" w:color="auto"/>
        <w:left w:val="none" w:sz="0" w:space="0" w:color="auto"/>
        <w:bottom w:val="none" w:sz="0" w:space="0" w:color="auto"/>
        <w:right w:val="none" w:sz="0" w:space="0" w:color="auto"/>
      </w:divBdr>
    </w:div>
    <w:div w:id="303854790">
      <w:bodyDiv w:val="1"/>
      <w:marLeft w:val="0"/>
      <w:marRight w:val="0"/>
      <w:marTop w:val="0"/>
      <w:marBottom w:val="0"/>
      <w:divBdr>
        <w:top w:val="none" w:sz="0" w:space="0" w:color="auto"/>
        <w:left w:val="none" w:sz="0" w:space="0" w:color="auto"/>
        <w:bottom w:val="none" w:sz="0" w:space="0" w:color="auto"/>
        <w:right w:val="none" w:sz="0" w:space="0" w:color="auto"/>
      </w:divBdr>
    </w:div>
    <w:div w:id="354616799">
      <w:bodyDiv w:val="1"/>
      <w:marLeft w:val="0"/>
      <w:marRight w:val="0"/>
      <w:marTop w:val="0"/>
      <w:marBottom w:val="0"/>
      <w:divBdr>
        <w:top w:val="none" w:sz="0" w:space="0" w:color="auto"/>
        <w:left w:val="none" w:sz="0" w:space="0" w:color="auto"/>
        <w:bottom w:val="none" w:sz="0" w:space="0" w:color="auto"/>
        <w:right w:val="none" w:sz="0" w:space="0" w:color="auto"/>
      </w:divBdr>
    </w:div>
    <w:div w:id="417676521">
      <w:bodyDiv w:val="1"/>
      <w:marLeft w:val="0"/>
      <w:marRight w:val="0"/>
      <w:marTop w:val="0"/>
      <w:marBottom w:val="0"/>
      <w:divBdr>
        <w:top w:val="none" w:sz="0" w:space="0" w:color="auto"/>
        <w:left w:val="none" w:sz="0" w:space="0" w:color="auto"/>
        <w:bottom w:val="none" w:sz="0" w:space="0" w:color="auto"/>
        <w:right w:val="none" w:sz="0" w:space="0" w:color="auto"/>
      </w:divBdr>
    </w:div>
    <w:div w:id="456802924">
      <w:bodyDiv w:val="1"/>
      <w:marLeft w:val="0"/>
      <w:marRight w:val="0"/>
      <w:marTop w:val="0"/>
      <w:marBottom w:val="0"/>
      <w:divBdr>
        <w:top w:val="none" w:sz="0" w:space="0" w:color="auto"/>
        <w:left w:val="none" w:sz="0" w:space="0" w:color="auto"/>
        <w:bottom w:val="none" w:sz="0" w:space="0" w:color="auto"/>
        <w:right w:val="none" w:sz="0" w:space="0" w:color="auto"/>
      </w:divBdr>
    </w:div>
    <w:div w:id="614170622">
      <w:bodyDiv w:val="1"/>
      <w:marLeft w:val="0"/>
      <w:marRight w:val="0"/>
      <w:marTop w:val="0"/>
      <w:marBottom w:val="0"/>
      <w:divBdr>
        <w:top w:val="none" w:sz="0" w:space="0" w:color="auto"/>
        <w:left w:val="none" w:sz="0" w:space="0" w:color="auto"/>
        <w:bottom w:val="none" w:sz="0" w:space="0" w:color="auto"/>
        <w:right w:val="none" w:sz="0" w:space="0" w:color="auto"/>
      </w:divBdr>
    </w:div>
    <w:div w:id="636574125">
      <w:bodyDiv w:val="1"/>
      <w:marLeft w:val="0"/>
      <w:marRight w:val="0"/>
      <w:marTop w:val="0"/>
      <w:marBottom w:val="0"/>
      <w:divBdr>
        <w:top w:val="none" w:sz="0" w:space="0" w:color="auto"/>
        <w:left w:val="none" w:sz="0" w:space="0" w:color="auto"/>
        <w:bottom w:val="none" w:sz="0" w:space="0" w:color="auto"/>
        <w:right w:val="none" w:sz="0" w:space="0" w:color="auto"/>
      </w:divBdr>
    </w:div>
    <w:div w:id="645280182">
      <w:bodyDiv w:val="1"/>
      <w:marLeft w:val="0"/>
      <w:marRight w:val="0"/>
      <w:marTop w:val="0"/>
      <w:marBottom w:val="0"/>
      <w:divBdr>
        <w:top w:val="none" w:sz="0" w:space="0" w:color="auto"/>
        <w:left w:val="none" w:sz="0" w:space="0" w:color="auto"/>
        <w:bottom w:val="none" w:sz="0" w:space="0" w:color="auto"/>
        <w:right w:val="none" w:sz="0" w:space="0" w:color="auto"/>
      </w:divBdr>
    </w:div>
    <w:div w:id="771708380">
      <w:bodyDiv w:val="1"/>
      <w:marLeft w:val="0"/>
      <w:marRight w:val="0"/>
      <w:marTop w:val="0"/>
      <w:marBottom w:val="0"/>
      <w:divBdr>
        <w:top w:val="none" w:sz="0" w:space="0" w:color="auto"/>
        <w:left w:val="none" w:sz="0" w:space="0" w:color="auto"/>
        <w:bottom w:val="none" w:sz="0" w:space="0" w:color="auto"/>
        <w:right w:val="none" w:sz="0" w:space="0" w:color="auto"/>
      </w:divBdr>
    </w:div>
    <w:div w:id="781192291">
      <w:bodyDiv w:val="1"/>
      <w:marLeft w:val="0"/>
      <w:marRight w:val="0"/>
      <w:marTop w:val="0"/>
      <w:marBottom w:val="0"/>
      <w:divBdr>
        <w:top w:val="none" w:sz="0" w:space="0" w:color="auto"/>
        <w:left w:val="none" w:sz="0" w:space="0" w:color="auto"/>
        <w:bottom w:val="none" w:sz="0" w:space="0" w:color="auto"/>
        <w:right w:val="none" w:sz="0" w:space="0" w:color="auto"/>
      </w:divBdr>
    </w:div>
    <w:div w:id="888110147">
      <w:bodyDiv w:val="1"/>
      <w:marLeft w:val="0"/>
      <w:marRight w:val="0"/>
      <w:marTop w:val="0"/>
      <w:marBottom w:val="0"/>
      <w:divBdr>
        <w:top w:val="none" w:sz="0" w:space="0" w:color="auto"/>
        <w:left w:val="none" w:sz="0" w:space="0" w:color="auto"/>
        <w:bottom w:val="none" w:sz="0" w:space="0" w:color="auto"/>
        <w:right w:val="none" w:sz="0" w:space="0" w:color="auto"/>
      </w:divBdr>
    </w:div>
    <w:div w:id="902521863">
      <w:bodyDiv w:val="1"/>
      <w:marLeft w:val="0"/>
      <w:marRight w:val="0"/>
      <w:marTop w:val="0"/>
      <w:marBottom w:val="0"/>
      <w:divBdr>
        <w:top w:val="none" w:sz="0" w:space="0" w:color="auto"/>
        <w:left w:val="none" w:sz="0" w:space="0" w:color="auto"/>
        <w:bottom w:val="none" w:sz="0" w:space="0" w:color="auto"/>
        <w:right w:val="none" w:sz="0" w:space="0" w:color="auto"/>
      </w:divBdr>
    </w:div>
    <w:div w:id="967514667">
      <w:bodyDiv w:val="1"/>
      <w:marLeft w:val="0"/>
      <w:marRight w:val="0"/>
      <w:marTop w:val="0"/>
      <w:marBottom w:val="0"/>
      <w:divBdr>
        <w:top w:val="none" w:sz="0" w:space="0" w:color="auto"/>
        <w:left w:val="none" w:sz="0" w:space="0" w:color="auto"/>
        <w:bottom w:val="none" w:sz="0" w:space="0" w:color="auto"/>
        <w:right w:val="none" w:sz="0" w:space="0" w:color="auto"/>
      </w:divBdr>
    </w:div>
    <w:div w:id="979650882">
      <w:bodyDiv w:val="1"/>
      <w:marLeft w:val="0"/>
      <w:marRight w:val="0"/>
      <w:marTop w:val="0"/>
      <w:marBottom w:val="0"/>
      <w:divBdr>
        <w:top w:val="none" w:sz="0" w:space="0" w:color="auto"/>
        <w:left w:val="none" w:sz="0" w:space="0" w:color="auto"/>
        <w:bottom w:val="none" w:sz="0" w:space="0" w:color="auto"/>
        <w:right w:val="none" w:sz="0" w:space="0" w:color="auto"/>
      </w:divBdr>
    </w:div>
    <w:div w:id="1011487738">
      <w:bodyDiv w:val="1"/>
      <w:marLeft w:val="0"/>
      <w:marRight w:val="0"/>
      <w:marTop w:val="0"/>
      <w:marBottom w:val="0"/>
      <w:divBdr>
        <w:top w:val="none" w:sz="0" w:space="0" w:color="auto"/>
        <w:left w:val="none" w:sz="0" w:space="0" w:color="auto"/>
        <w:bottom w:val="none" w:sz="0" w:space="0" w:color="auto"/>
        <w:right w:val="none" w:sz="0" w:space="0" w:color="auto"/>
      </w:divBdr>
    </w:div>
    <w:div w:id="1025447458">
      <w:bodyDiv w:val="1"/>
      <w:marLeft w:val="0"/>
      <w:marRight w:val="0"/>
      <w:marTop w:val="0"/>
      <w:marBottom w:val="0"/>
      <w:divBdr>
        <w:top w:val="none" w:sz="0" w:space="0" w:color="auto"/>
        <w:left w:val="none" w:sz="0" w:space="0" w:color="auto"/>
        <w:bottom w:val="none" w:sz="0" w:space="0" w:color="auto"/>
        <w:right w:val="none" w:sz="0" w:space="0" w:color="auto"/>
      </w:divBdr>
    </w:div>
    <w:div w:id="1121222633">
      <w:bodyDiv w:val="1"/>
      <w:marLeft w:val="0"/>
      <w:marRight w:val="0"/>
      <w:marTop w:val="0"/>
      <w:marBottom w:val="0"/>
      <w:divBdr>
        <w:top w:val="none" w:sz="0" w:space="0" w:color="auto"/>
        <w:left w:val="none" w:sz="0" w:space="0" w:color="auto"/>
        <w:bottom w:val="none" w:sz="0" w:space="0" w:color="auto"/>
        <w:right w:val="none" w:sz="0" w:space="0" w:color="auto"/>
      </w:divBdr>
    </w:div>
    <w:div w:id="1132867781">
      <w:bodyDiv w:val="1"/>
      <w:marLeft w:val="0"/>
      <w:marRight w:val="0"/>
      <w:marTop w:val="0"/>
      <w:marBottom w:val="0"/>
      <w:divBdr>
        <w:top w:val="none" w:sz="0" w:space="0" w:color="auto"/>
        <w:left w:val="none" w:sz="0" w:space="0" w:color="auto"/>
        <w:bottom w:val="none" w:sz="0" w:space="0" w:color="auto"/>
        <w:right w:val="none" w:sz="0" w:space="0" w:color="auto"/>
      </w:divBdr>
    </w:div>
    <w:div w:id="1141310869">
      <w:bodyDiv w:val="1"/>
      <w:marLeft w:val="0"/>
      <w:marRight w:val="0"/>
      <w:marTop w:val="0"/>
      <w:marBottom w:val="0"/>
      <w:divBdr>
        <w:top w:val="none" w:sz="0" w:space="0" w:color="auto"/>
        <w:left w:val="none" w:sz="0" w:space="0" w:color="auto"/>
        <w:bottom w:val="none" w:sz="0" w:space="0" w:color="auto"/>
        <w:right w:val="none" w:sz="0" w:space="0" w:color="auto"/>
      </w:divBdr>
    </w:div>
    <w:div w:id="1147237517">
      <w:bodyDiv w:val="1"/>
      <w:marLeft w:val="0"/>
      <w:marRight w:val="0"/>
      <w:marTop w:val="0"/>
      <w:marBottom w:val="0"/>
      <w:divBdr>
        <w:top w:val="none" w:sz="0" w:space="0" w:color="auto"/>
        <w:left w:val="none" w:sz="0" w:space="0" w:color="auto"/>
        <w:bottom w:val="none" w:sz="0" w:space="0" w:color="auto"/>
        <w:right w:val="none" w:sz="0" w:space="0" w:color="auto"/>
      </w:divBdr>
    </w:div>
    <w:div w:id="1244996695">
      <w:bodyDiv w:val="1"/>
      <w:marLeft w:val="0"/>
      <w:marRight w:val="0"/>
      <w:marTop w:val="0"/>
      <w:marBottom w:val="0"/>
      <w:divBdr>
        <w:top w:val="none" w:sz="0" w:space="0" w:color="auto"/>
        <w:left w:val="none" w:sz="0" w:space="0" w:color="auto"/>
        <w:bottom w:val="none" w:sz="0" w:space="0" w:color="auto"/>
        <w:right w:val="none" w:sz="0" w:space="0" w:color="auto"/>
      </w:divBdr>
    </w:div>
    <w:div w:id="1279527907">
      <w:bodyDiv w:val="1"/>
      <w:marLeft w:val="0"/>
      <w:marRight w:val="0"/>
      <w:marTop w:val="0"/>
      <w:marBottom w:val="0"/>
      <w:divBdr>
        <w:top w:val="none" w:sz="0" w:space="0" w:color="auto"/>
        <w:left w:val="none" w:sz="0" w:space="0" w:color="auto"/>
        <w:bottom w:val="none" w:sz="0" w:space="0" w:color="auto"/>
        <w:right w:val="none" w:sz="0" w:space="0" w:color="auto"/>
      </w:divBdr>
    </w:div>
    <w:div w:id="1279683054">
      <w:bodyDiv w:val="1"/>
      <w:marLeft w:val="0"/>
      <w:marRight w:val="0"/>
      <w:marTop w:val="0"/>
      <w:marBottom w:val="0"/>
      <w:divBdr>
        <w:top w:val="none" w:sz="0" w:space="0" w:color="auto"/>
        <w:left w:val="none" w:sz="0" w:space="0" w:color="auto"/>
        <w:bottom w:val="none" w:sz="0" w:space="0" w:color="auto"/>
        <w:right w:val="none" w:sz="0" w:space="0" w:color="auto"/>
      </w:divBdr>
    </w:div>
    <w:div w:id="1293899101">
      <w:bodyDiv w:val="1"/>
      <w:marLeft w:val="0"/>
      <w:marRight w:val="0"/>
      <w:marTop w:val="0"/>
      <w:marBottom w:val="0"/>
      <w:divBdr>
        <w:top w:val="none" w:sz="0" w:space="0" w:color="auto"/>
        <w:left w:val="none" w:sz="0" w:space="0" w:color="auto"/>
        <w:bottom w:val="none" w:sz="0" w:space="0" w:color="auto"/>
        <w:right w:val="none" w:sz="0" w:space="0" w:color="auto"/>
      </w:divBdr>
    </w:div>
    <w:div w:id="1352414246">
      <w:bodyDiv w:val="1"/>
      <w:marLeft w:val="0"/>
      <w:marRight w:val="0"/>
      <w:marTop w:val="0"/>
      <w:marBottom w:val="0"/>
      <w:divBdr>
        <w:top w:val="none" w:sz="0" w:space="0" w:color="auto"/>
        <w:left w:val="none" w:sz="0" w:space="0" w:color="auto"/>
        <w:bottom w:val="none" w:sz="0" w:space="0" w:color="auto"/>
        <w:right w:val="none" w:sz="0" w:space="0" w:color="auto"/>
      </w:divBdr>
    </w:div>
    <w:div w:id="1368801530">
      <w:bodyDiv w:val="1"/>
      <w:marLeft w:val="0"/>
      <w:marRight w:val="0"/>
      <w:marTop w:val="0"/>
      <w:marBottom w:val="0"/>
      <w:divBdr>
        <w:top w:val="none" w:sz="0" w:space="0" w:color="auto"/>
        <w:left w:val="none" w:sz="0" w:space="0" w:color="auto"/>
        <w:bottom w:val="none" w:sz="0" w:space="0" w:color="auto"/>
        <w:right w:val="none" w:sz="0" w:space="0" w:color="auto"/>
      </w:divBdr>
    </w:div>
    <w:div w:id="1386026871">
      <w:bodyDiv w:val="1"/>
      <w:marLeft w:val="0"/>
      <w:marRight w:val="0"/>
      <w:marTop w:val="0"/>
      <w:marBottom w:val="0"/>
      <w:divBdr>
        <w:top w:val="none" w:sz="0" w:space="0" w:color="auto"/>
        <w:left w:val="none" w:sz="0" w:space="0" w:color="auto"/>
        <w:bottom w:val="none" w:sz="0" w:space="0" w:color="auto"/>
        <w:right w:val="none" w:sz="0" w:space="0" w:color="auto"/>
      </w:divBdr>
    </w:div>
    <w:div w:id="1422216341">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586067742">
      <w:bodyDiv w:val="1"/>
      <w:marLeft w:val="0"/>
      <w:marRight w:val="0"/>
      <w:marTop w:val="0"/>
      <w:marBottom w:val="0"/>
      <w:divBdr>
        <w:top w:val="none" w:sz="0" w:space="0" w:color="auto"/>
        <w:left w:val="none" w:sz="0" w:space="0" w:color="auto"/>
        <w:bottom w:val="none" w:sz="0" w:space="0" w:color="auto"/>
        <w:right w:val="none" w:sz="0" w:space="0" w:color="auto"/>
      </w:divBdr>
    </w:div>
    <w:div w:id="1598293096">
      <w:bodyDiv w:val="1"/>
      <w:marLeft w:val="0"/>
      <w:marRight w:val="0"/>
      <w:marTop w:val="0"/>
      <w:marBottom w:val="0"/>
      <w:divBdr>
        <w:top w:val="none" w:sz="0" w:space="0" w:color="auto"/>
        <w:left w:val="none" w:sz="0" w:space="0" w:color="auto"/>
        <w:bottom w:val="none" w:sz="0" w:space="0" w:color="auto"/>
        <w:right w:val="none" w:sz="0" w:space="0" w:color="auto"/>
      </w:divBdr>
    </w:div>
    <w:div w:id="1638877893">
      <w:bodyDiv w:val="1"/>
      <w:marLeft w:val="0"/>
      <w:marRight w:val="0"/>
      <w:marTop w:val="0"/>
      <w:marBottom w:val="0"/>
      <w:divBdr>
        <w:top w:val="none" w:sz="0" w:space="0" w:color="auto"/>
        <w:left w:val="none" w:sz="0" w:space="0" w:color="auto"/>
        <w:bottom w:val="none" w:sz="0" w:space="0" w:color="auto"/>
        <w:right w:val="none" w:sz="0" w:space="0" w:color="auto"/>
      </w:divBdr>
    </w:div>
    <w:div w:id="1698701498">
      <w:bodyDiv w:val="1"/>
      <w:marLeft w:val="0"/>
      <w:marRight w:val="0"/>
      <w:marTop w:val="0"/>
      <w:marBottom w:val="0"/>
      <w:divBdr>
        <w:top w:val="none" w:sz="0" w:space="0" w:color="auto"/>
        <w:left w:val="none" w:sz="0" w:space="0" w:color="auto"/>
        <w:bottom w:val="none" w:sz="0" w:space="0" w:color="auto"/>
        <w:right w:val="none" w:sz="0" w:space="0" w:color="auto"/>
      </w:divBdr>
    </w:div>
    <w:div w:id="1714230902">
      <w:bodyDiv w:val="1"/>
      <w:marLeft w:val="0"/>
      <w:marRight w:val="0"/>
      <w:marTop w:val="0"/>
      <w:marBottom w:val="0"/>
      <w:divBdr>
        <w:top w:val="none" w:sz="0" w:space="0" w:color="auto"/>
        <w:left w:val="none" w:sz="0" w:space="0" w:color="auto"/>
        <w:bottom w:val="none" w:sz="0" w:space="0" w:color="auto"/>
        <w:right w:val="none" w:sz="0" w:space="0" w:color="auto"/>
      </w:divBdr>
    </w:div>
    <w:div w:id="1740857258">
      <w:bodyDiv w:val="1"/>
      <w:marLeft w:val="0"/>
      <w:marRight w:val="0"/>
      <w:marTop w:val="0"/>
      <w:marBottom w:val="0"/>
      <w:divBdr>
        <w:top w:val="none" w:sz="0" w:space="0" w:color="auto"/>
        <w:left w:val="none" w:sz="0" w:space="0" w:color="auto"/>
        <w:bottom w:val="none" w:sz="0" w:space="0" w:color="auto"/>
        <w:right w:val="none" w:sz="0" w:space="0" w:color="auto"/>
      </w:divBdr>
    </w:div>
    <w:div w:id="1745177032">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97603081">
      <w:bodyDiv w:val="1"/>
      <w:marLeft w:val="0"/>
      <w:marRight w:val="0"/>
      <w:marTop w:val="0"/>
      <w:marBottom w:val="0"/>
      <w:divBdr>
        <w:top w:val="none" w:sz="0" w:space="0" w:color="auto"/>
        <w:left w:val="none" w:sz="0" w:space="0" w:color="auto"/>
        <w:bottom w:val="none" w:sz="0" w:space="0" w:color="auto"/>
        <w:right w:val="none" w:sz="0" w:space="0" w:color="auto"/>
      </w:divBdr>
    </w:div>
    <w:div w:id="1890453642">
      <w:bodyDiv w:val="1"/>
      <w:marLeft w:val="0"/>
      <w:marRight w:val="0"/>
      <w:marTop w:val="0"/>
      <w:marBottom w:val="0"/>
      <w:divBdr>
        <w:top w:val="none" w:sz="0" w:space="0" w:color="auto"/>
        <w:left w:val="none" w:sz="0" w:space="0" w:color="auto"/>
        <w:bottom w:val="none" w:sz="0" w:space="0" w:color="auto"/>
        <w:right w:val="none" w:sz="0" w:space="0" w:color="auto"/>
      </w:divBdr>
    </w:div>
    <w:div w:id="2009747782">
      <w:bodyDiv w:val="1"/>
      <w:marLeft w:val="0"/>
      <w:marRight w:val="0"/>
      <w:marTop w:val="0"/>
      <w:marBottom w:val="0"/>
      <w:divBdr>
        <w:top w:val="none" w:sz="0" w:space="0" w:color="auto"/>
        <w:left w:val="none" w:sz="0" w:space="0" w:color="auto"/>
        <w:bottom w:val="none" w:sz="0" w:space="0" w:color="auto"/>
        <w:right w:val="none" w:sz="0" w:space="0" w:color="auto"/>
      </w:divBdr>
    </w:div>
    <w:div w:id="2132556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image" Target="media/image13.jpeg"/><Relationship Id="rId42" Type="http://schemas.openxmlformats.org/officeDocument/2006/relationships/image" Target="media/image26.emf"/><Relationship Id="rId47" Type="http://schemas.openxmlformats.org/officeDocument/2006/relationships/header" Target="header8.xml"/><Relationship Id="rId63" Type="http://schemas.openxmlformats.org/officeDocument/2006/relationships/footer" Target="footer12.xml"/><Relationship Id="rId68" Type="http://schemas.openxmlformats.org/officeDocument/2006/relationships/footer" Target="footer14.xml"/><Relationship Id="rId84" Type="http://schemas.openxmlformats.org/officeDocument/2006/relationships/image" Target="media/image46.png"/><Relationship Id="rId89" Type="http://schemas.openxmlformats.org/officeDocument/2006/relationships/footer" Target="footer22.xml"/><Relationship Id="rId7" Type="http://schemas.openxmlformats.org/officeDocument/2006/relationships/footnotes" Target="footnotes.xml"/><Relationship Id="rId71" Type="http://schemas.openxmlformats.org/officeDocument/2006/relationships/image" Target="media/image41.emf"/><Relationship Id="rId92" Type="http://schemas.openxmlformats.org/officeDocument/2006/relationships/image" Target="media/image49.emf"/><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eader" Target="header4.xml"/><Relationship Id="rId107" Type="http://schemas.openxmlformats.org/officeDocument/2006/relationships/theme" Target="theme/theme1.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image" Target="media/image21.png"/><Relationship Id="rId40" Type="http://schemas.openxmlformats.org/officeDocument/2006/relationships/image" Target="media/image24.emf"/><Relationship Id="rId45" Type="http://schemas.openxmlformats.org/officeDocument/2006/relationships/image" Target="media/image27.png"/><Relationship Id="rId53" Type="http://schemas.openxmlformats.org/officeDocument/2006/relationships/image" Target="media/image31.png"/><Relationship Id="rId58" Type="http://schemas.openxmlformats.org/officeDocument/2006/relationships/image" Target="media/image34.emf"/><Relationship Id="rId66" Type="http://schemas.openxmlformats.org/officeDocument/2006/relationships/image" Target="media/image38.png"/><Relationship Id="rId74" Type="http://schemas.openxmlformats.org/officeDocument/2006/relationships/image" Target="media/image42.emf"/><Relationship Id="rId79" Type="http://schemas.openxmlformats.org/officeDocument/2006/relationships/footer" Target="footer18.xml"/><Relationship Id="rId87" Type="http://schemas.openxmlformats.org/officeDocument/2006/relationships/header" Target="header15.xml"/><Relationship Id="rId102" Type="http://schemas.openxmlformats.org/officeDocument/2006/relationships/image" Target="media/image54.emf"/><Relationship Id="rId5" Type="http://schemas.openxmlformats.org/officeDocument/2006/relationships/settings" Target="settings.xml"/><Relationship Id="rId61" Type="http://schemas.openxmlformats.org/officeDocument/2006/relationships/image" Target="media/image36.emf"/><Relationship Id="rId82" Type="http://schemas.openxmlformats.org/officeDocument/2006/relationships/image" Target="media/image45.png"/><Relationship Id="rId90" Type="http://schemas.openxmlformats.org/officeDocument/2006/relationships/image" Target="media/image47.png"/><Relationship Id="rId95" Type="http://schemas.openxmlformats.org/officeDocument/2006/relationships/image" Target="media/image52.emf"/><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image" Target="media/image19.emf"/><Relationship Id="rId43" Type="http://schemas.openxmlformats.org/officeDocument/2006/relationships/header" Target="header7.xml"/><Relationship Id="rId48" Type="http://schemas.openxmlformats.org/officeDocument/2006/relationships/footer" Target="footer8.xml"/><Relationship Id="rId56" Type="http://schemas.openxmlformats.org/officeDocument/2006/relationships/header" Target="header9.xml"/><Relationship Id="rId64" Type="http://schemas.openxmlformats.org/officeDocument/2006/relationships/image" Target="media/image37.png"/><Relationship Id="rId69" Type="http://schemas.openxmlformats.org/officeDocument/2006/relationships/image" Target="media/image39.png"/><Relationship Id="rId77" Type="http://schemas.openxmlformats.org/officeDocument/2006/relationships/image" Target="media/image44.emf"/><Relationship Id="rId100" Type="http://schemas.openxmlformats.org/officeDocument/2006/relationships/footer" Target="footer26.xml"/><Relationship Id="rId105" Type="http://schemas.openxmlformats.org/officeDocument/2006/relationships/header" Target="header18.xml"/><Relationship Id="rId8" Type="http://schemas.openxmlformats.org/officeDocument/2006/relationships/endnotes" Target="endnotes.xml"/><Relationship Id="rId51" Type="http://schemas.openxmlformats.org/officeDocument/2006/relationships/image" Target="cid:image003.png@01D05810.6B153F60" TargetMode="External"/><Relationship Id="rId72" Type="http://schemas.openxmlformats.org/officeDocument/2006/relationships/header" Target="header11.xml"/><Relationship Id="rId80" Type="http://schemas.openxmlformats.org/officeDocument/2006/relationships/header" Target="header12.xml"/><Relationship Id="rId85" Type="http://schemas.openxmlformats.org/officeDocument/2006/relationships/header" Target="header14.xml"/><Relationship Id="rId93" Type="http://schemas.openxmlformats.org/officeDocument/2006/relationships/image" Target="media/image50.emf"/><Relationship Id="rId98" Type="http://schemas.openxmlformats.org/officeDocument/2006/relationships/footer" Target="footer25.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image" Target="media/image22.png"/><Relationship Id="rId46" Type="http://schemas.openxmlformats.org/officeDocument/2006/relationships/footer" Target="footer7.xml"/><Relationship Id="rId59" Type="http://schemas.openxmlformats.org/officeDocument/2006/relationships/image" Target="media/image35.emf"/><Relationship Id="rId67" Type="http://schemas.openxmlformats.org/officeDocument/2006/relationships/header" Target="header10.xml"/><Relationship Id="rId103" Type="http://schemas.openxmlformats.org/officeDocument/2006/relationships/header" Target="header17.xml"/><Relationship Id="rId20" Type="http://schemas.openxmlformats.org/officeDocument/2006/relationships/image" Target="media/image12.jpeg"/><Relationship Id="rId41" Type="http://schemas.openxmlformats.org/officeDocument/2006/relationships/image" Target="media/image25.emf"/><Relationship Id="rId54" Type="http://schemas.openxmlformats.org/officeDocument/2006/relationships/image" Target="media/image32.emf"/><Relationship Id="rId62" Type="http://schemas.openxmlformats.org/officeDocument/2006/relationships/footer" Target="footer11.xml"/><Relationship Id="rId70" Type="http://schemas.openxmlformats.org/officeDocument/2006/relationships/image" Target="media/image40.emf"/><Relationship Id="rId75" Type="http://schemas.openxmlformats.org/officeDocument/2006/relationships/image" Target="media/image43.emf"/><Relationship Id="rId83" Type="http://schemas.openxmlformats.org/officeDocument/2006/relationships/header" Target="header13.xml"/><Relationship Id="rId88" Type="http://schemas.openxmlformats.org/officeDocument/2006/relationships/footer" Target="footer21.xml"/><Relationship Id="rId91" Type="http://schemas.openxmlformats.org/officeDocument/2006/relationships/image" Target="media/image48.emf"/><Relationship Id="rId96" Type="http://schemas.openxmlformats.org/officeDocument/2006/relationships/footer" Target="footer2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20.emf"/><Relationship Id="rId49" Type="http://schemas.openxmlformats.org/officeDocument/2006/relationships/image" Target="media/image28.png"/><Relationship Id="rId57" Type="http://schemas.openxmlformats.org/officeDocument/2006/relationships/footer" Target="footer9.xml"/><Relationship Id="rId106"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header" Target="header5.xml"/><Relationship Id="rId44" Type="http://schemas.openxmlformats.org/officeDocument/2006/relationships/footer" Target="footer6.xml"/><Relationship Id="rId52" Type="http://schemas.openxmlformats.org/officeDocument/2006/relationships/image" Target="media/image30.png"/><Relationship Id="rId60" Type="http://schemas.openxmlformats.org/officeDocument/2006/relationships/footer" Target="footer10.xml"/><Relationship Id="rId65" Type="http://schemas.openxmlformats.org/officeDocument/2006/relationships/footer" Target="footer13.xml"/><Relationship Id="rId73" Type="http://schemas.openxmlformats.org/officeDocument/2006/relationships/footer" Target="footer15.xml"/><Relationship Id="rId78" Type="http://schemas.openxmlformats.org/officeDocument/2006/relationships/footer" Target="footer17.xml"/><Relationship Id="rId81" Type="http://schemas.openxmlformats.org/officeDocument/2006/relationships/footer" Target="footer19.xml"/><Relationship Id="rId86" Type="http://schemas.openxmlformats.org/officeDocument/2006/relationships/footer" Target="footer20.xml"/><Relationship Id="rId94" Type="http://schemas.openxmlformats.org/officeDocument/2006/relationships/image" Target="media/image51.emf"/><Relationship Id="rId99" Type="http://schemas.openxmlformats.org/officeDocument/2006/relationships/header" Target="header16.xml"/><Relationship Id="rId101" Type="http://schemas.openxmlformats.org/officeDocument/2006/relationships/image" Target="media/image53.emf"/><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23.png"/><Relationship Id="rId34" Type="http://schemas.openxmlformats.org/officeDocument/2006/relationships/image" Target="media/image18.emf"/><Relationship Id="rId50" Type="http://schemas.openxmlformats.org/officeDocument/2006/relationships/image" Target="media/image29.png"/><Relationship Id="rId55" Type="http://schemas.openxmlformats.org/officeDocument/2006/relationships/image" Target="media/image33.emf"/><Relationship Id="rId76" Type="http://schemas.openxmlformats.org/officeDocument/2006/relationships/footer" Target="footer16.xml"/><Relationship Id="rId97" Type="http://schemas.openxmlformats.org/officeDocument/2006/relationships/footer" Target="footer24.xml"/><Relationship Id="rId104" Type="http://schemas.openxmlformats.org/officeDocument/2006/relationships/image" Target="media/image55.emf"/></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16.png"/></Relationships>
</file>

<file path=word/_rels/footer8.xml.rels><?xml version="1.0" encoding="UTF-8" standalone="yes"?>
<Relationships xmlns="http://schemas.openxmlformats.org/package/2006/relationships"><Relationship Id="rId1" Type="http://schemas.openxmlformats.org/officeDocument/2006/relationships/image" Target="media/image16.png"/></Relationships>
</file>

<file path=word/_rels/footer9.xml.rels><?xml version="1.0" encoding="UTF-8" standalone="yes"?>
<Relationships xmlns="http://schemas.openxmlformats.org/package/2006/relationships"><Relationship Id="rId1" Type="http://schemas.openxmlformats.org/officeDocument/2006/relationships/image" Target="media/image16.png"/></Relationships>
</file>

<file path=word/_rels/footer10.xml.rels><?xml version="1.0" encoding="UTF-8" standalone="yes"?>
<Relationships xmlns="http://schemas.openxmlformats.org/package/2006/relationships"><Relationship Id="rId1" Type="http://schemas.openxmlformats.org/officeDocument/2006/relationships/image" Target="media/image16.png"/></Relationships>
</file>

<file path=word/_rels/footer11.xml.rels><?xml version="1.0" encoding="UTF-8" standalone="yes"?>
<Relationships xmlns="http://schemas.openxmlformats.org/package/2006/relationships"><Relationship Id="rId1" Type="http://schemas.openxmlformats.org/officeDocument/2006/relationships/image" Target="media/image16.png"/></Relationships>
</file>

<file path=word/_rels/footer12.xml.rels><?xml version="1.0" encoding="UTF-8" standalone="yes"?>
<Relationships xmlns="http://schemas.openxmlformats.org/package/2006/relationships"><Relationship Id="rId1" Type="http://schemas.openxmlformats.org/officeDocument/2006/relationships/image" Target="media/image16.png"/></Relationships>
</file>

<file path=word/_rels/footer13.xml.rels><?xml version="1.0" encoding="UTF-8" standalone="yes"?>
<Relationships xmlns="http://schemas.openxmlformats.org/package/2006/relationships"><Relationship Id="rId1" Type="http://schemas.openxmlformats.org/officeDocument/2006/relationships/image" Target="media/image16.png"/></Relationships>
</file>

<file path=word/_rels/footer14.xml.rels><?xml version="1.0" encoding="UTF-8" standalone="yes"?>
<Relationships xmlns="http://schemas.openxmlformats.org/package/2006/relationships"><Relationship Id="rId1" Type="http://schemas.openxmlformats.org/officeDocument/2006/relationships/image" Target="media/image16.png"/></Relationships>
</file>

<file path=word/_rels/footer15.xml.rels><?xml version="1.0" encoding="UTF-8" standalone="yes"?>
<Relationships xmlns="http://schemas.openxmlformats.org/package/2006/relationships"><Relationship Id="rId1" Type="http://schemas.openxmlformats.org/officeDocument/2006/relationships/image" Target="media/image16.png"/></Relationships>
</file>

<file path=word/_rels/footer16.xml.rels><?xml version="1.0" encoding="UTF-8" standalone="yes"?>
<Relationships xmlns="http://schemas.openxmlformats.org/package/2006/relationships"><Relationship Id="rId1" Type="http://schemas.openxmlformats.org/officeDocument/2006/relationships/image" Target="media/image16.png"/></Relationships>
</file>

<file path=word/_rels/footer17.xml.rels><?xml version="1.0" encoding="UTF-8" standalone="yes"?>
<Relationships xmlns="http://schemas.openxmlformats.org/package/2006/relationships"><Relationship Id="rId1" Type="http://schemas.openxmlformats.org/officeDocument/2006/relationships/image" Target="media/image16.png"/></Relationships>
</file>

<file path=word/_rels/footer18.xml.rels><?xml version="1.0" encoding="UTF-8" standalone="yes"?>
<Relationships xmlns="http://schemas.openxmlformats.org/package/2006/relationships"><Relationship Id="rId1" Type="http://schemas.openxmlformats.org/officeDocument/2006/relationships/image" Target="media/image16.png"/></Relationships>
</file>

<file path=word/_rels/footer19.xml.rels><?xml version="1.0" encoding="UTF-8" standalone="yes"?>
<Relationships xmlns="http://schemas.openxmlformats.org/package/2006/relationships"><Relationship Id="rId1" Type="http://schemas.openxmlformats.org/officeDocument/2006/relationships/image" Target="media/image16.png"/></Relationships>
</file>

<file path=word/_rels/footer20.xml.rels><?xml version="1.0" encoding="UTF-8" standalone="yes"?>
<Relationships xmlns="http://schemas.openxmlformats.org/package/2006/relationships"><Relationship Id="rId1" Type="http://schemas.openxmlformats.org/officeDocument/2006/relationships/image" Target="media/image16.png"/></Relationships>
</file>

<file path=word/_rels/footer21.xml.rels><?xml version="1.0" encoding="UTF-8" standalone="yes"?>
<Relationships xmlns="http://schemas.openxmlformats.org/package/2006/relationships"><Relationship Id="rId1" Type="http://schemas.openxmlformats.org/officeDocument/2006/relationships/image" Target="media/image16.png"/></Relationships>
</file>

<file path=word/_rels/footer22.xml.rels><?xml version="1.0" encoding="UTF-8" standalone="yes"?>
<Relationships xmlns="http://schemas.openxmlformats.org/package/2006/relationships"><Relationship Id="rId1" Type="http://schemas.openxmlformats.org/officeDocument/2006/relationships/image" Target="media/image16.png"/></Relationships>
</file>

<file path=word/_rels/footer23.xml.rels><?xml version="1.0" encoding="UTF-8" standalone="yes"?>
<Relationships xmlns="http://schemas.openxmlformats.org/package/2006/relationships"><Relationship Id="rId1" Type="http://schemas.openxmlformats.org/officeDocument/2006/relationships/image" Target="media/image16.png"/></Relationships>
</file>

<file path=word/_rels/footer24.xml.rels><?xml version="1.0" encoding="UTF-8" standalone="yes"?>
<Relationships xmlns="http://schemas.openxmlformats.org/package/2006/relationships"><Relationship Id="rId1" Type="http://schemas.openxmlformats.org/officeDocument/2006/relationships/image" Target="media/image16.png"/></Relationships>
</file>

<file path=word/_rels/footer25.xml.rels><?xml version="1.0" encoding="UTF-8" standalone="yes"?>
<Relationships xmlns="http://schemas.openxmlformats.org/package/2006/relationships"><Relationship Id="rId1" Type="http://schemas.openxmlformats.org/officeDocument/2006/relationships/image" Target="media/image16.png"/></Relationships>
</file>

<file path=word/_rels/footer26.xml.rels><?xml version="1.0" encoding="UTF-8" standalone="yes"?>
<Relationships xmlns="http://schemas.openxmlformats.org/package/2006/relationships"><Relationship Id="rId1" Type="http://schemas.openxmlformats.org/officeDocument/2006/relationships/image" Target="media/image16.png"/></Relationships>
</file>

<file path=word/_rels/footnotes.xml.rels><?xml version="1.0" encoding="UTF-8" standalone="yes"?>
<Relationships xmlns="http://schemas.openxmlformats.org/package/2006/relationships"><Relationship Id="rId3" Type="http://schemas.openxmlformats.org/officeDocument/2006/relationships/hyperlink" Target="https://www.smartgrid.gov/sites/default/files/MASTER_SMUD%20CBS%20Interim%20Evaluation_Final_SUBMITTED%20TO%20TAG%2020131023.pdf" TargetMode="External"/><Relationship Id="rId2" Type="http://schemas.openxmlformats.org/officeDocument/2006/relationships/hyperlink" Target="https://www.smartgrid.gov/sites/default/files/MASTER_SMUD%20CBS%20Interim%20Evaluation_Final_SUBMITTED%20TO%20TAG%2020131023.pdf" TargetMode="External"/><Relationship Id="rId1" Type="http://schemas.openxmlformats.org/officeDocument/2006/relationships/hyperlink" Target="https://www.smartgrid.gov/sites/default/files/MASTER_SMUD%20CBS%20Interim%20Evaluation_Final_SUBMITTED%20TO%20TAG%2020131023.pdf" TargetMode="External"/><Relationship Id="rId4" Type="http://schemas.openxmlformats.org/officeDocument/2006/relationships/hyperlink" Target="https://www.smartgrid.gov/sites/default/files/MASTER_SMUD%20CBS%20Interim%20Evaluation_Final_SUBMITTED%20TO%20TAG%2020131023.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rohde\Documents\Nexant%20Templates\Electric%20Report%20Template%2002051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1FAB62-1113-4D0F-9A15-516F3DC5CD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Electric Report Template 020515</Template>
  <TotalTime>3</TotalTime>
  <Pages>138</Pages>
  <Words>37332</Words>
  <Characters>212797</Characters>
  <Application>Microsoft Office Word</Application>
  <DocSecurity>0</DocSecurity>
  <Lines>1773</Lines>
  <Paragraphs>499</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249630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Rohde, Michael</cp:lastModifiedBy>
  <cp:revision>3</cp:revision>
  <cp:lastPrinted>2015-03-30T15:12:00Z</cp:lastPrinted>
  <dcterms:created xsi:type="dcterms:W3CDTF">2015-03-30T23:17:00Z</dcterms:created>
  <dcterms:modified xsi:type="dcterms:W3CDTF">2015-03-30T23:44:00Z</dcterms:modified>
</cp:coreProperties>
</file>